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PE21.008752 vom 18. Januar 2022</w:t>
      </w:r>
    </w:p>
    <w:p>
      <w:r>
        <w:t>VD Tribunal cantonal, 2022-01-18, FR</w:t>
      </w:r>
    </w:p>
    <w:p>
      <w:r>
        <w:rPr>
          <w:b/>
        </w:rPr>
        <w:t xml:space="preserve">Quelle: </w:t>
      </w:r>
      <w:r>
        <w:t>https://mcp.opencaselaw.ch/entscheid/vd_gerichte_PE21.008752</w:t>
      </w:r>
    </w:p>
    <w:p>
      <w:r>
        <w:t>FR: VD_GERICHTE PE21.008752 du 18 janvier 2022</w:t>
      </w:r>
    </w:p>
    <w:p>
      <w:r>
        <w:t>IT: VD_GERICHTE PE21.008752 del 18 gennaio 2022</w:t>
      </w:r>
    </w:p>
    <w:p>
      <w:pPr>
        <w:pStyle w:val="Heading2"/>
      </w:pPr>
      <w:r>
        <w:t>Erwägungen</w:t>
      </w:r>
    </w:p>
    <w:p>
      <w:r>
        <w:rPr>
          <w:b/>
        </w:rPr>
        <w:t>E. 1</w:t>
      </w:r>
    </w:p>
    <w:p>
      <w:r>
        <w:t>M.________ est né le [...] 1965 à Lausanne. Célibataire, il travaille comme inspecteur de sinistres, réalisant un salaire mensuel net de 6'000 fr., versé 13 fois l’an. Ses primes d’assurance-maladie se montent à CHF 770.- par mois et son loyer à 1'150 francs. Ses impôts s’élèvent à 1'333 fr. 30 par mois. Le prévenu a investi 50'000 fr. dans une maison en France et paie 1'500 fr. par mois à titre de charges et d’hypothèque. Il a une compagne avec laquelle il ne vit pas, mais celle-ci participe aux frais de logement en France. Il rembourse un crédit de 650 fr. par mois auprès de la banque [...]. Il doit également 5'000 fr. concernant sa carte de crédit VISA et a une dette sur son compte courant de 3'000 francs. Pour le surplus, il n’a ni fortune ni dette. Le casier judiciaire suisse du prévenu ne comporte aucune inscription. Le fichier SIAC mentionne un avertissement le 24 mai 2019 pour un « cas de peu de gravité et accident », le 3 avril 2019. Le prévenu a expliqué avoir garé dans une pente à Lausanne un véhicule automatique qu’il n’utilisait pas d’habitude et avoir oublié de mettre le frein à main, le véhicule s’étant ensuite légèrement avancé et appuyé contre une autre voiture, sans provoquer de dommage. Le prévenu indique avoir subi un retrait de permis de 5 mois, réduit à 4 mois après avoir suivi un cours, pour les faits objets de la présente procédure.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w:t>
      </w:r>
    </w:p>
    <w:p>
      <w:r>
        <w:rPr>
          <w:b/>
        </w:rPr>
        <w:t>E. 3.1</w:t>
      </w:r>
    </w:p>
    <w:p>
      <w:r>
        <w:t>L’appelant ne conteste pas les faits, mais l’appréciation de sa culpabilité et les sanctions prononcées. Il estime que la motivation du jugement de première instance à ce sujet est insuffisante et que la peine</w:t>
      </w:r>
    </w:p>
    <w:p>
      <w:r>
        <w:t>- 11 - ne tiendrait notamment pas compte, à tort, des circonstances particulières de l’excès de vitesse, de l'intensité réduite de sa volonté délictuelle et de l'effet de la peine sur son avenir. Il invoque les recommandations de la Conférence des procureurs de Suisse qui prévoient, pour un dépassement entre 50 et 59 km/h hors localité, une peine minimale de 120 jours- amende.</w:t>
      </w:r>
    </w:p>
    <w:p>
      <w:r>
        <w:rPr>
          <w:b/>
        </w:rPr>
        <w:t>E. 3.2</w:t>
      </w:r>
    </w:p>
    <w:p>
      <w:r>
        <w:t>; ATF 144 IV 313 consid. 1.1.1 ; ATF 137 II 297 consid. 2.3.4 ; TF 6B_792/2021 du 14 février 2022 consid. 1.1).</w:t>
      </w:r>
    </w:p>
    <w:p>
      <w:r>
        <w:t>- 14 -</w:t>
      </w:r>
    </w:p>
    <w:p>
      <w:r>
        <w:rPr>
          <w:b/>
        </w:rPr>
        <w:t>E. 3.2.1</w:t>
      </w:r>
    </w:p>
    <w:p>
      <w:r>
        <w:t>Conformément à l'art. 90 LCR (Loi fédérale sur la circulation routière du 19 décembre 1958 ; RS 741.01),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w:t>
      </w:r>
    </w:p>
    <w:p>
      <w:r>
        <w:t>- 12 - rend coupable d'une négligence inconsciente. Dans de tels cas, une négligence grossière ne peut être admise que si l'absence de prise de conscience du danger créé pour autrui repose elle-même sur une absence de scrupules (ATF 131 IV 133 consid. 3.2 ; TF 6B_1300/2016 du 5 décembre 2017 consid. 2.1.2 ; ATF 143 IV 500). Plus la violation de la règle de la circulation est objectivement grave, plus on admettra l'existence d'une absence de scrupule, sauf indice particulier permettant de retenir le contraire (ATF 142 IV 93 consid. 3.1). 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143 IV 508 consid. 1.3 ; ATF 132 II 234 consid. 3.1 ; ATF 124 Il 259 consid. 2b ; ATF 123 II 106 consid. 2c et réf. cit.). Cependant, la jurisprudence admet que dans des circonstances exceptionnelles, il y a lieu d'exclure l'application du cas grave alors même que le seuil de l'excès de vitesse fixé a été atteint (ATF 143 IV 508 consid. 1.3). Ainsi, sous l'angle de l'absence de scrupules, le Tribunal fédéral a retenu que le cas grave n'était pas réalisé lorsque la vitesse avait été limitée provisoirement à 80 km/h sur un tronçon autoroutier pour des motifs écologiques liés à une présence excessive de particules fines dans l'air (TF 6B 109/2008 du 13 juin 2008 consid. 3.2 ; voir également le considérant 1.3.2 de l'arrêt TF 6B 444/2016 du 3 avril 2017), ou encore lorsque la limitation de vitesse violée relevait notamment de mesures de modération du trafic (TF 6B_622/2009 du 23 octobre 2009).</w:t>
      </w:r>
    </w:p>
    <w:p>
      <w:r>
        <w:rPr>
          <w:b/>
        </w:rPr>
        <w:t>E. 3.2.2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w:t>
      </w:r>
    </w:p>
    <w:p>
      <w:r>
        <w:t>- 13 -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 ATF 134 IV 97 consid. 4.2.2). Le choix de la sanction doit être opéré en tenant compte au premier chef de l'adéquation de la peine, de ses effets sur l'auteur et sur sa situation sociale ainsi que de son efficacité du point de vue de la prévention (ATF 147 IV 241 consid.</w:t>
      </w:r>
    </w:p>
    <w:p>
      <w:r>
        <w:rPr>
          <w:b/>
        </w:rPr>
        <w:t>E. 3.2.3</w:t>
      </w:r>
    </w:p>
    <w:p>
      <w:r>
        <w:t>Le juge suspend en règle générale l'exécution d'une peine pécuniaire ou d'une peine privative de liberté de deux au plus lorsqu'une peine ferme ne paraît pas nécessaire pour détourner l'auteur d'autres crimes ou délits (art. 42 al. 1 CP). Si le juge suspend totalement ou partiellement l'exécution d'une peine, il imparti au condamné un délai d'épreuve de deux à cinq ans (art. 44 al. 1 CP).</w:t>
      </w:r>
    </w:p>
    <w:p>
      <w:r>
        <w:t>- 15 - Selon l'art. 42 al. 4 CP, le juge peut prononcer une amende en plus d'une peine avec sursis.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consid. 7.3.1).</w:t>
      </w:r>
    </w:p>
    <w:p>
      <w:r>
        <w:rPr>
          <w:b/>
        </w:rPr>
        <w:t>E. 3.2.4</w:t>
      </w:r>
    </w:p>
    <w:p>
      <w:r>
        <w:t>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(art. 34 al. 2 CP). Selon la jurisprudence,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142 IV 315 consid. 5 ; ATF 134 IV 60 consid. 6 ; TF 6B_845/2009 du 11 janvier 2010 consid. 1, publié in SJ 2010 I 205).</w:t>
      </w:r>
    </w:p>
    <w:p>
      <w:r>
        <w:rPr>
          <w:b/>
        </w:rPr>
        <w:t>E. 3.3</w:t>
      </w:r>
    </w:p>
    <w:p>
      <w:r>
        <w:t>En l’espèce, l’appelant a admis les faits. Le dépassement de 58 km/h, hors localité, constitue effectivement une violation grave d’une règle de la circulation au sens de l’art. 90 al. 2 LCR. La culpabilité de l’appelant n’est pas négligeable. Il a gratuitement et sans scrupule roulé à une vitesse excessive sans égard aux autres usagers de la route. Même en tenant compte des circonstances invoquées (route sèche, tracé rectiligne, absence prétendue d’autres véhicules etc.) dans le cadre de la fixation de la peine, force est de constater que l'intensité de sa volonté délictuelle reste importante, tout comme la mise en danger du bien juridique protégé. On ne saurait retenir une simple négligence, comme invoqué par l’appelant. L’excès de vitesse de 58 km/h est d’ailleurs 2 km/h inférieur au seuil d’application des art. 90 al. 3 et al. 4 LCR qui prévoient une peine privative de liberté minimale d’un an. Il convient toutefois de retenir le comportement de l’appelant lorsqu’il a été confronté aux faits qu’il a admis. Il a déclaré qu’il avait « fait l’imbécile » en roulant si vite. Il a expliqué que cette histoire lui avait servi de leçon et qu’à l’avenir il respecterait les limitations de vitesse. Il a exprimé avoir pris conscience de la gravité de ses actes et a ainsi démontré une prise de conscience. Enfin, le casier judiciaire vierge et l’extrait SIAC de l’appelant démontrent en outre que son comportement est habituellement conforme à la loi et que sa faute est isolée. Aussi, la</w:t>
      </w:r>
    </w:p>
    <w:p>
      <w:r>
        <w:t>- 16 - sanction peut être arrêtée à 180 jours-amende, l’exécution de cette peine étant suspendue durant un délai d’épreuve de 2 ans, puisqu’aucun pronostic défavorable ne peut être établi. Compte tenu de l’octroi du sursis, l’amende infligée en première instance, à titre de sanction immédiate, doit être maintenue afin de mieux amener l’appelant à s’amender. Le montant de l’amende sera toutefois réduit à 2'000 fr., la peine privative de liberté de substitution étant arrêtée à 20 jours. Compte tenu de la situation patrimoniale de l’appelant (rappelée ci-dessus let. C) et comme il le requiert, le jour-amende sera fixé à 60 francs.</w:t>
      </w:r>
    </w:p>
    <w:p>
      <w:r>
        <w:rPr>
          <w:b/>
        </w:rPr>
        <w:t>E. 5</w:t>
      </w:r>
    </w:p>
    <w:p>
      <w:r>
        <w:t>En définitive, l’appel de M.________ doit être partiellement admis et le jugement attaqué réformé dans le sens des considérants qui précèdent. Vu l’issue de la cause, les frais de la procédure d’appel, constitués en l’espèce de l’émolument d’arrêt et d’audience, par 1'500 fr. (art. 21 al. 1 et 2 TFIP [Tarif des frais de procédure et indemnités en matière pénale du 28 septembre 2010 ; BLV 312.03.1]), seront mis par un tiers, soit par 500 fr., à la charge de M.________, qui obtient partiellement gain de cause (art. 428 al. 1 CPP). Le solde sera laissé à la charge de l’Etat (art. 423 CPP). M.________ qui a procédé avec l’assistance d’un avocat de choix pour la procédure d’appel et qui a obtenu partiellement gain de cause, a droit à une indemnité réduite pour les dépenses occasionnées par l’exercice raisonnable de ses droits dans le cadre de la procédure d’appel (art. 436 al. 2 CPP). Il a produit la liste d’opérations de son conseil comprenant l’activité de première instance (P. 18), alors qu’en appel il ne conteste pas le principe de sa condamnation. Seules les 16 h 05 d’activité d’avocat dès le 19 janvier 2022, date de la première opération après le jugement de première instance du 18 janvier 2022, seront dès lors prises en compte et examinées. Pour la seule rédaction de la déclaration d’appel,</w:t>
      </w:r>
    </w:p>
    <w:p>
      <w:r>
        <w:t>- 17 - compte tenu de l’acte rédigé et de la nature de l’affaire – laquelle ne présentait pas de complexité juridique particulière – 7 h 30 apparaissent toutefois excessives, de sorte que ce temps doit être réduit de 3 h 30, 4 heures apparaissant suffisantes à un avocat expérimenté pour rédiger la déclaration d’appel. Pour le même motif, la préparation de la plaidoirie de 1 h 45 est légèrement excessive et le temps consacré à cette activité sera réduit à 1 h 20. Les 30 minutes d’opérations du 22 février 2022 (traitement de dossier, e-mail au client, lettre à Me [...] et lettre à la Chambre patrimoniale) ne seront pas prises en compte puisqu’elles se rapportent manifestement à une autre affaire. Par ailleurs, 3 heures pour tenir informé le client et le renseigner sur l’appel est excessif compte tenu de la complexité de l’affaire. Seule 1 heure suffisait, l’essentiel de cette activité étant par ailleurs des transmissions de courriers au client qui relèvent du travail de secrétariat. L’audience n’a finalement duré que 20 minutes et non pas 60 minutes comme indiqué dans la liste d’opérations. L’heure d’opération postérieure au jugement n’est pas justifiée compte tenu de la solution esquissée en audience et du fait que le conseil a renoncé à plaider. Les photocopies sont comprises dans les débours forfaitaires. Comme retenu ci-dessus, la cause étant simple et ressortant de la compétence d’un tribunal de police, il y a lieu d’appliquer un tarif horaire de 250 fr., équivalant au tarif minimal prévu à l’art. 26a al. 3 TFIP. L’indemnité s’élèvera donc à 2'000 fr., correspondant à 8 heures d’activité nécessaire d’avocat au tarif horaire de 250 fr., auxquelles il faut ajouter des débours au taux de 2% (art. 19 al. 2 TDC [Tarif des dépens en matière civile du 23 novembre 2010 ; BLV 270.11.6] par renvoi de l’art. 26a al. 6 TFIP), par 40 fr., et la TVA au taux de 7,7%, par 157 fr. 10 francs, soit au total 2197 fr. 10. Cette indemnité, réduite d’un tiers compte tenu de l’issue de l’appel, s’élèvera en définitive à 1'464 fr. 75 et mise à la charge de l’Etat. Elle sera éteinte par compensation avec les 1'500 fr. de frais mis à la charge de l’appelant en première instance et en appel, un solde de 35 fr. 25 restant dû par ce dernier (art. 442 al. 4 CPP). La Cour d’appel pénale appliquant les art. 34, 42 al. 1 et 4, 44 al. 1, 47 et 106 CP ; 90 al. 2 LCR ; 398 ss CPP,</w:t>
      </w:r>
    </w:p>
    <w:p>
      <w:r>
        <w:t>- 18 - prononce : I. L’appel est partiellement admis. II. Le jugement rendu le 18 janvier 2022 par le Tribunal de police de l’arrondissement de La Côte est modifié comme il suit aux chiffres II à IV de son dispositif, le dispositif du jugement étant désormais le suivant : "I. CONSTATE que M.________ s’est rendu coupable de violation grave des règles de la circulation routière ; II. CONDAMNE M.________ à 180 (cent huitante) jours- amende à CHF 60.- (soixante francs) le jour-amende ; III. SUSPEND l’exécution de la peine pécuniaire et FIXE à M.________ un délai d’épreuve de 2 (deux) ans ; IV. CONDAMNE M.________ à une amende de CHF 2'000.- (deux mille francs), la peine privative de liberté de substitution étant de 20 (vingt) jours en cas de non- paiement fautif ; V. MET les frais de procédure à hauteur de CHF 1'000.- (mille francs) à la charge de M.________." III. Les frais d'appel sont mis par un tiers, soit par 500 fr. (cinq cents francs), à la charge de M.________ et par deux tiers, soit par 1'000 fr. (mille francs), à la charge de l’Etat. IV. Une indemnité réduite d’un montant de 1'464 fr. 75 (mille quatre cent soixante-quatre francs et septante cinq centimes) est allouée à M.________, pour les dépenses occasionnées par l'exercice raisonnable de ses droits en procédure d’appel, à la charge de l'Etat, dite indemnité étant éteinte par compensation avec une part correspondante des frais de procédure pénale de première et deuxième instances mis à la charge de M.________, le solde restant dû par M.________</w:t>
      </w:r>
    </w:p>
    <w:p>
      <w:r>
        <w:t>- 19 - s’élevant à 35 fr. 25 (trente-cinq francs et vingt-cinq centimes). V. Le jugement motivé est exécutoire. Le président : Le greffier : Du Le jugement qui précède, dont le dispositif a été communiqué par écrit aux intéressés le 10 mai 2022, est notifié, par l'envoi d'une copie complète, à : - Me Michele Bettini, avocat (pour M.________), - Ministère public central, et communiqué à : - Mme la Présidente du Tribunal de police de l'arrondissement de La Côte, - Mme la Procureure de l'arrondissement de La Côte, par l'envoi de photocopies. Le présent jugement peut faire l'objet d'un recours en matière pénale devant le Tribunal fédéral au sens des art. 78 ss LTF (loi du 17 juin 2005 sur le Tribunal fédéral – RS 173.110). Ce recours doit être déposé</w:t>
      </w:r>
    </w:p>
    <w:p>
      <w:r>
        <w:t>- 20 -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