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PE21.008606 vom 23. August 2024</w:t>
      </w:r>
    </w:p>
    <w:p>
      <w:r>
        <w:t>VD Tribunal cantonal, 2024-08-23, FR</w:t>
      </w:r>
    </w:p>
    <w:p>
      <w:r>
        <w:rPr>
          <w:b/>
        </w:rPr>
        <w:t xml:space="preserve">Quelle: </w:t>
      </w:r>
      <w:r>
        <w:t>https://mcp.opencaselaw.ch/entscheid/vd_gerichte_PE21.008606</w:t>
      </w:r>
    </w:p>
    <w:p>
      <w:r>
        <w:t>FR: VD_GERICHTE PE21.008606 du 23 août 2024</w:t>
      </w:r>
    </w:p>
    <w:p>
      <w:r>
        <w:t>IT: VD_GERICHTE PE21.008606 del 23 agosto 2024</w:t>
      </w:r>
    </w:p>
    <w:p>
      <w:pPr>
        <w:pStyle w:val="Heading2"/>
      </w:pPr>
      <w:r>
        <w:t>Erwägungen</w:t>
      </w:r>
    </w:p>
    <w:p>
      <w:r>
        <w:rPr>
          <w:b/>
        </w:rPr>
        <w:t>E. 1.1</w:t>
      </w:r>
    </w:p>
    <w:p>
      <w:r>
        <w:t>Une ordonnance par laquelle le Ministère public ordonne la jonction ou la disjonction de procédures pénales (art. 30 CPP) est susceptible d’un recours au sens des art. 393 ss CPP (Guidon, in : Niggli/Heer/Wiprächtiger [éd.], Basler Kommentar, Schweizerische Strafprozessordnung, Jugendstrafprozessordnung, 3e éd. 2023, n. 10 ad art. 393 CPP). Elle peut être attaquée dans les dix jours devant l’autorité de recours (art. 396 al. 1 CPP ; cf. art. 20 al. 1 let. b CPP), qui est, dans le Canton de Vaud, la Chambre des recours pénale du Tribunal cantonal (art.</w:t>
      </w:r>
    </w:p>
    <w:p>
      <w:r>
        <w:t>- 5 - 13 LVCPP [loi vaudoise d’introduction du code de procédure pénale suisse du 19 mai 2009 ; BLV 312.01] ; art. 80 LOJV [loi vaudoise d’organisation judiciaire du 12 décembre 1979 ; BLV 173.01]).</w:t>
      </w:r>
    </w:p>
    <w:p>
      <w:r>
        <w:rPr>
          <w:b/>
        </w:rPr>
        <w:t>E. 1.2</w:t>
      </w:r>
    </w:p>
    <w:p>
      <w:r>
        <w:t>En l’espèce, interjeté dans le délai légal auprès de l’autorité compétente par une partie qui a qualité pour recourir (art. 382 al. 1 CPP) et satisfaisant aux conditions de forme posées par l’art. 385 al. 1 CPP, le recours est recevable.</w:t>
      </w:r>
    </w:p>
    <w:p>
      <w:r>
        <w:rPr>
          <w:b/>
        </w:rPr>
        <w:t>E. 2</w:t>
      </w:r>
    </w:p>
    <w:p>
      <w:r>
        <w:t>CPP ; TF 6B_646/2022 du 18 janvier 2023 consid. 3.2.2 ; TF 6B_854/2018 du 23 octobre 2018 consid. 3.1). La Chambre des recours pénale dispose d'un tel pouvoir d'examen, permettant de guérir le vice procédural invoqué (art. 391 al. 1 et 393 al. 2 CPP ; TF 6B_1239/2020 du 2 décembre 2020 consid. 6 ; CREP 22 septembre 2023/756 consid. 2.2).</w:t>
      </w:r>
    </w:p>
    <w:p>
      <w:r>
        <w:rPr>
          <w:b/>
        </w:rPr>
        <w:t>E. 2.1</w:t>
      </w:r>
    </w:p>
    <w:p>
      <w:r>
        <w:t>Le recourant invoque une violation de son droit d'être entendu et reproche au Ministère public de ne pas avoir motivé la décision querellée. Sur le fond, il fait valoir que chacun des coprévenus est mis en prévention pour des faits connexes, voire identiques.</w:t>
      </w:r>
    </w:p>
    <w:p>
      <w:r>
        <w:rPr>
          <w:b/>
        </w:rPr>
        <w:t>E. 2.2.1</w:t>
      </w:r>
    </w:p>
    <w:p>
      <w:r>
        <w:t>Le droit d'être entendu, tel qu'il est garanti par les art. 29 al. 2 Cst. (Constitution fédérale de la Confédération suisse du 18 avril 1999 ; RS 101), 6 § 1 CEDH (Convention de sauvegarde des droits de l’homme et des libertés fondamentales du 4 novembre 1950 ; RS 0.101) et 3 al. 2 let. c CPP,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(ATF 146 II 335 consid 5.1 ; ATF 143 III 65 consid. 5.2 ; ATF 139 IV 179 consid. 2.2 ; TF 7B_68/2022 du 6 mars 2024 consid. 2.2.1), de manière que l'intéressé puisse se rendre compte de la portée de celle-ci et l'attaquer en connaissance de cause (ATF 143 IV 40 consid. 3.4.3 ; ATF 141 IV 249 consid. 1.3.1 ; ATF 139 IV 179 précité). Il n'a toutefois pas l'obligation d'exposer et de discuter tous les faits, moyens de preuve et griefs invoqués par les parties, mais peut se limiter à l'examen des questions décisives pour l'issue du litige (ATF 147 IV 249 consid. 2.4 ; ATF 142 II 154 consid. 4.2 ; ATF 139 IV 179 précité). La motivation peut</w:t>
      </w:r>
    </w:p>
    <w:p>
      <w:r>
        <w:t>- 6 - d'ailleurs être implicite et résulter des différents considérants de la décision (ATF 141 V 557 consid. 3.2.1 ; TF 7B_68/2022 précité). Le droit d'être entendu est une garantie constitutionnelle de caractère formel, dont la violation doit entraîner l'annulation de la décision, indépendamment des chances de succès du recours sur le fond (ATF 142 II 218 consid. 2.8.1 ; ATF 135 I 187 consid. 2.2).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(art. 391 al. 1 et 393 al.</w:t>
      </w:r>
    </w:p>
    <w:p>
      <w:r>
        <w:rPr>
          <w:b/>
        </w:rPr>
        <w:t>E. 2.2.2</w:t>
      </w:r>
    </w:p>
    <w:p>
      <w:r>
        <w:t>Consacrant le principe dit de l’unité de la procédure, l’art. 29 al. 1 CPP prévoit que les infractions sont poursuivies et jugées conjointement lorsqu’un prévenu a commis plusieurs infractions (let. a) ou lorsqu’il y a plusieurs coauteurs ou participation (let. b). Ce principe tend à éviter des jugements contradictoires, que ce soit au niveau de la constatation des faits, de l’appréciation juridique ou de la fixation de la peine. Il permet également de satisfaire au principe de l’égalité de traitement visé à l’art. 8 Cst. et sert l’économie de la procédure (ATF 138 IV 214 consid. 3.2 ; ATF 138 IV 29 consid. 3.2, JdT 2012 IV 185 et les références citées ; TF 6B_40/2023 du 8 janvier 2024 consid. 1.1). Le Tribunal fédéral a relevé le caractère problématique, du point de vue du droit à un procès équitable garanti aux art. 29 al. 1 Cst. et</w:t>
      </w:r>
    </w:p>
    <w:p>
      <w:r>
        <w:rPr>
          <w:b/>
        </w:rPr>
        <w:t>E. 2.3</w:t>
      </w:r>
    </w:p>
    <w:p>
      <w:r>
        <w:t>En l'espèce, dans l'ordonnance attaquée, le Ministère public indique, pour toute motivation, que le cas respectif de X.________, P.________ et W.________ est distinct de celui des autres et que la disjonction de ces cas permettra de simplifier la procédure, sans nuire au cas du recourant. Dans ses déterminations du 25 juillet 2024, le Ministère public invoque le principe d'économie de la procédure en annonçant que les infractions reprochées aux trois prénommés pourront, cas échéant, être sanctionnées par des ordonnances pénales, contrairement à H.________, qui risque un renvoi devant le Tribunal correctionnel. Si le recourant a été en mesure de contester l'ordonnance litigieuse, il n'a pas pu critiquer le raisonnement du procureur, faute d'en avoir eu connaissance. Or, dans le cas d'espèce, une motivation était</w:t>
      </w:r>
    </w:p>
    <w:p>
      <w:r>
        <w:t>- 8 - d'autant plus indispensable qu'il ne ressort pas de manière évidente du dossier que les conditions de l'art. 30 CP et de la jurisprudence y relative seraient remplies. Le droit d'être entendu du recourant a donc été violé. Quand bien même la Chambre de céans dispose d’un plein pouvoir d’examen, il ne lui appartient pas de réparer cette violation, le recourant devant dans le cas d’espèce pouvoir bénéficier de la garantie de la double instance. Pour ce motif, la décision attaquée doit être annulée sans qu'il y ait lieu d'examiner plus en avant les arguments tendant à sa réforme. 3. En définitive, le recours doit être admis, l’ordonnance entreprise annulée et le dossier de la cause renvoyé au Ministère public de l'arrondissement de Lausanne afin qu'il rende une décision motivée. Compte tenu de la nature de l’affaire et de l’acte de recours déposé, l’indemnité allouée à Me Patrick Michod, défenseur d’office de H.________, sera fixée à 540 fr., correspondant à une activité nécessaire d’avocat de 3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10 fr. 80, plus la TVA au taux de 8,1 %, par 44 fr. 60, soit à 596 fr. au total en chiffres arrondis. Vu le sort du recours, les frais de la procédure, constitués en l’espèce de l’émolument d'arrêt, par 880 fr. (art. 20 al. 1 TFIP), et des frais imputables à la défense d’office de H.________ (art. 422 al. 1 et 2 let. a CPP), fixés à 596 fr., seront laissés à la charge de l’Etat (art. 428 al. 1 CPP).</w:t>
      </w:r>
    </w:p>
    <w:p>
      <w:r>
        <w:t>- 9 - Par ces motifs, la Chambre des recours pénale prononce : I. Le recours est admis. II. L'ordonnance du 6 juin 2024 est annulée. III. Le dossier de la cause est renvoyé au Ministère public de l'arrondissement de Lausanne pour qu'il procède dans le sens des considérants. IV. L'indemnité allouée à Me Patrick Michod, défenseur d'office de H.________, est fixée à 596 fr. (cinq cent nonante-six francs). V. Les frais d’arrêt, par 880 fr. (huit cent huitante francs), ainsi que l’indemnité due au défenseur d’office du recourant, par 596 fr. (cinq cent nonante-six francs), sont laissés à la charge de l’Etat. VI. L’arrêt est exécutoire. Le président : La greffière : Du Le présent arrêt, dont la rédaction a été approuvée à huis clos, est notifié, par l'envoi d'une copie complète, à : - Me Patrick Michod, avocat (pour H.________), - M. X.________, - M. P.________, - Mme W.________, - Ministère public central, et communiqué à : - M. le Procureur de l'arrondissement Lausanne,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6</w:t>
      </w:r>
    </w:p>
    <w:p>
      <w:r>
        <w:t>§ 1 CEDH, de la conduite de procédures séparées ou de la disjonction de causes en cas d'infractions commises par plusieurs auteurs ou participants, eu égard au risque de voir l'un des intéressés rejeter la faute</w:t>
      </w:r>
    </w:p>
    <w:p>
      <w:r>
        <w:t>- 7 - sur les autres (ATF 134 IV 328 consid. 3.3 ; ATF 116 Ia 305 consid. 4b ; TF 1B_516/2022 du 9 mars 2023 consid. 2.1 ; TF 6B_40/2023 précité). Si des raisons objectives le justifient, le Ministère public et les tribunaux peuvent ordonner la jonction ou la disjonction de procédures pénales (art. 30 CPP). Une disjonction des procédures doit rester l’exception (ATF 144 IV 97 consid. 3.3). Elle doit avant tout servir à garantir la rapidité de la procédure, respectivement à éviter un retard inutile (ATF 138 IV 214 précité et les références citées ; TF 6B_40/2023 précité ; TF 6B_655/2022 du 31 août 2022 consid. 1.1). Constituent notamment des motifs objectifs justifiant la disjonction de causes un nombre élevé de coprévenus rendant la conduite d'une procédure unique trop difficile, une incapacité de comparaître de longue durée d'un des coprévenus ou l'imminence de la prescription (ATF 138 IV 214 précité ; TF 6B_40/2023 précité ; TF 6B_655/2022 précité). En revanche, la mise en œuvre d'une procédure simplifiée à l'égard d'un des coprévenus (TF 1B_506/2020 du 5 octobre 2020 consid. 2) ou des raisons d'organisation des autorités de poursuite pénale – notamment quant à une compétence spéciale – ne constituent en soi pas des motifs de disjonction (ATF 138 IV 214 précité ; TF 6B_40/2023 précité ; TF 1B_516/2022 précité ; TF 6B_23/2021 du 20 juillet 2021 consid. 3.3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