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PE21.008541 vom 10. Juni 2021</w:t>
      </w:r>
    </w:p>
    <w:p>
      <w:r>
        <w:t>VD Tribunal cantonal, 2021-06-10, FR</w:t>
      </w:r>
    </w:p>
    <w:p>
      <w:r>
        <w:rPr>
          <w:b/>
        </w:rPr>
        <w:t xml:space="preserve">Quelle: </w:t>
      </w:r>
      <w:r>
        <w:t>https://mcp.opencaselaw.ch/entscheid/vd_gerichte_PE21.008541</w:t>
      </w:r>
    </w:p>
    <w:p>
      <w:r>
        <w:t>FR: VD_GERICHTE PE21.008541 du 10 juin 2021</w:t>
      </w:r>
    </w:p>
    <w:p>
      <w:r>
        <w:t>IT: VD_GERICHTE PE21.008541 del 10 giugno 2021</w:t>
      </w:r>
    </w:p>
    <w:p>
      <w:pPr>
        <w:pStyle w:val="Heading2"/>
      </w:pPr>
      <w:r>
        <w:t>Erwägungen</w:t>
      </w:r>
    </w:p>
    <w:p>
      <w:r>
        <w:rPr>
          <w:b/>
        </w:rPr>
        <w:t>E. 1</w:t>
      </w:r>
    </w:p>
    <w:p>
      <w:r>
        <w:t>Les parties peuvent attaquer une ordonnance de suspension (cf. art. 393 al. 1 let. a CPP [Code de procédure pénale suisse du 5 octobre 2007 ; RS 312.0] et 314 al. 5 CPP qui renvoie aux art. 320 ss CPP) dans les dix jours devant l’autorité de recours (art. 322 al. 2 CPP ; cf. art. 20 al. 1 let. b CPP), qui est, dans le canton de Vaud, la Chambre des recours pénale du Tribunal cantonal (art. 13 LVCPP [loi d’introduction du code de procédure pénale suisse ; BLV 312.01] ; art. 80 LOJV [loi d’organisation judiciaire ; BLV 173.01] ; CREP 19 décembre 2018/993). En l’espèce, interjeté dans le délai légal et dans les formes prescrites (art. 385 al. 1 CPP) auprès de l’autorité compétente, par une partie qui a qualité pour recourir (art. 382 al. 1 CPP), le recours est recevable.</w:t>
      </w:r>
    </w:p>
    <w:p>
      <w:r>
        <w:rPr>
          <w:b/>
        </w:rPr>
        <w:t>E. 2.1</w:t>
      </w:r>
    </w:p>
    <w:p>
      <w:r>
        <w:t>Le recourant reproche à la procureure de suspendre la procédure ouverte contre R.________ pour attendre le sort de la plainte déposée contre lui, sans confronter les deux parties au préalable, et de n’avoir retenu dans son ordonnance que la version des faits présentée par son ancien employeur. Il soutient notamment que la suspension de la procédure « influerait négativement sur la suite de la procédure, en présentant le recourant sous un mauvais jour en tant que probable délinquant » et que « lier le sort de la plainte avérée du recourant à une version montée de toutes pièces par la partie adverse est récusable et porterait un plausible préjudice au recourant en influant l’enquête pénale en cours ». De manière confuse, il invoque une inégalité de traitement et la violation des principes de la proportionnalité et de l’interdiction de l’arbitraire.</w:t>
      </w:r>
    </w:p>
    <w:p>
      <w:r>
        <w:rPr>
          <w:b/>
        </w:rPr>
        <w:t>E. 2.2</w:t>
      </w:r>
    </w:p>
    <w:p>
      <w:r>
        <w:t>Selon l'art. 314 al. 1 let. b CPP, le ministère public peut suspendre une instruction, notamment lorsque l'issue de la procédure pénale dépend d'un autre procès dont il paraît indiqué d'attendre la fin. Cette disposition est potestative et les motifs de suspension ne sont pas exhaustifs. Le ministère public dispose dès lors d'un certain pouvoir d'appréciation lui permettant de choisir la mesure la plus opportune. La</w:t>
      </w:r>
    </w:p>
    <w:p>
      <w:r>
        <w:t>- 4 - suspension de la procédure pénale au motif qu'un autre procès est pendant ne se justifie toutefois que si le résultat de l'autre procédure peut véritablement jouer un rôle pour le résultat de la procédure pénale suspendue et que s'il simplifiera de manière significative l'administration des preuves dans cette même procédure (TF 1B_406/2017 du 23 janvier 2018 consid. 2 ; TF 1B_421/2012 du 19 juin 2013 consid. 2.1). Le principe de la célérité qui découle de l'art. 29 al. 1 Cst. (Constitution fédérale de la Confédération suisse du 18 avril 1999 ; RS 101) et, en matière pénale, de l'art. 5 CPP, pose des limites à la suspension d'une procédure. Ce principe est notamment violé lorsque l'autorité ordonne la suspension d'une procédure sans motifs objectifs. Pareille mesure dépend d'une pesée des intérêts en présence et ne doit être admise qu'avec retenue, en particulier s'il convient d'attendre le prononcé d'une autre autorité compétente qui permettrait de trancher une question décisive (TF 1B_406/2017 du 23 janvier 2018 consid. 2 et les arrêts cités). Dans les cas limites ou douteux, le principe de célérité prime (ATF 130 V 90 consid. 5 ; TF 1B_329/2017 du 11 septembre 2017 consid. 3).</w:t>
      </w:r>
    </w:p>
    <w:p>
      <w:r>
        <w:rPr>
          <w:b/>
        </w:rPr>
        <w:t>E. 2.3</w:t>
      </w:r>
    </w:p>
    <w:p>
      <w:r>
        <w:t>En l’occurrence, le recourant reproche à la procureure d’avoir retenu dans l’ordonnance litigieuse la version des faits de son ancien employeur. Ceci n’est toutefois pas exact vu que l’enquête est actuellement en cours et que la suspension de la procédure n’a rien à voir avec cette question. En effet, la procureure a considéré que l’issue de la procédure pénale ouverte contre R.________ dépendait de celle préalablement ouverte contre J.________ et qu’il paraissait ainsi indiqué d’attendre la fin de cette dernière. Cette décision ne prête pas le flanc à la critique dès lors que les procédures concernées ont pour objet le même complexe de faits. L’issue de la procédure PE21.008102-MLV apparaît effectivement déterminante dans le cadre de la procédure PE21.008541- MLV et simplifiera de manière significative l'administration des preuves de cette dernière. C’est donc à juste titre que la procureure a ordonné la suspension de la procédure pénale PE21.008541-MLV.</w:t>
      </w:r>
    </w:p>
    <w:p>
      <w:r>
        <w:t>- 5 - Au demeurant, il n’y a pas d’inégalité de traitement, la seconde plainte ne pouvant être traitée avant, voire simultanément à la première, puisque son sort dépend de l’issue de celle-ci. Enfin, on ne voit pas en quoi le maintien de la première plainte serait disproportionné ou arbitraire.</w:t>
      </w:r>
    </w:p>
    <w:p>
      <w:r>
        <w:rPr>
          <w:b/>
        </w:rPr>
        <w:t>E. 3</w:t>
      </w:r>
    </w:p>
    <w:p>
      <w:r>
        <w:t>Il résulte de ce qui précède que le recours, manifestement mal fondé, doit être rejeté sans échange d’écritures (art. 390 al. 2 CPP) et l’ordonnance attaquée confirmée. Les frais de la procédure de recours, constitués en l'espèce de l’émolument d’arrêt, par 550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19 mai 2021 est confirmée. III. Les frais d’arrêt, par 550 fr. (cinq cent cinquante francs), sont mis à la charge d’J.________. IV. L’arrêt est exécutoire. Le président : La greffière : Du Le présent arrêt, dont la rédaction a été approuvée à huis clos, est notifié, par l'envoi d'une copie complète, à : - J.________,</w:t>
      </w:r>
    </w:p>
    <w:p>
      <w:r>
        <w:t>- 6 - - R.________,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