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PE21.008361 vom 11. August 2021</w:t>
      </w:r>
    </w:p>
    <w:p>
      <w:r>
        <w:t>VD Tribunal cantonal, 2021-08-11, FR</w:t>
      </w:r>
    </w:p>
    <w:p>
      <w:r>
        <w:rPr>
          <w:b/>
        </w:rPr>
        <w:t xml:space="preserve">Quelle: </w:t>
      </w:r>
      <w:r>
        <w:t>https://mcp.opencaselaw.ch/entscheid/vd_gerichte_PE21.008361</w:t>
      </w:r>
    </w:p>
    <w:p>
      <w:r>
        <w:t>FR: VD_GERICHTE PE21.008361 du 11 août 2021</w:t>
      </w:r>
    </w:p>
    <w:p>
      <w:r>
        <w:t>IT: VD_GERICHTE PE21.008361 del 11 agosto 2021</w:t>
      </w:r>
    </w:p>
    <w:p>
      <w:pPr>
        <w:pStyle w:val="Heading2"/>
      </w:pPr>
      <w:r>
        <w:t>Erwägungen</w:t>
      </w:r>
    </w:p>
    <w:p>
      <w:r>
        <w:rPr>
          <w:b/>
        </w:rPr>
        <w:t>E. 26</w:t>
      </w:r>
    </w:p>
    <w:p>
      <w:r>
        <w:t>novembre 2020 consid. 5.1 ; TF 6B_166/2017 du 16 novembre 2017 consid. 2.1 ; TF 6B_275/2016 du 9 décembre 2016 consid. 2.1). Le principe de l'accusation est également déduit de l'art. 29 al. 2 Cst. (Constitution fédérale de la Confédération suisse du 18 avril 1999 ; RS 101 ; droit d'être entendu), de l'art. 32 al. 2 Cst. (droit d'être informé, dans les plus brefs délais et de manière détaillée, des accusations portées contre soi) et de l'art. 6 § 3 let. a CEDH (Convention de sauvegarde des droits de l’homme et des libertés fondamentales du 4 novembre 1950 ; RS 0.101 ; droit d'être informé de la nature et de la cause de l'accusation). L'acte d'accusation définit ainsi l'objet du procès et sert également à informer le prévenu (fonctions de délimitation et d'information ; ATF 143 IV 63 consid. 2.2, JdT 2017 IV 351 ; ATF 141 IV 132 consid. 3.4.1 et les réf. citées, JdT 2015 IV 258 ; TF 6B_1110/2020, déjà cité, consid. 1.1). 4.3 En l’espèce, l’ordonnance pénale rendue le 7 avril 2021 par la Préfecture du Gros-de-Vaud, qui vaut acte d’accusation ensuite de l’opposition du prévenu, retient à l’encontre de C.________, la « construction sans autorisation d’un mur de soutènement et aménagements extérieurs sur la parcelle n° 41, constatés à la fin du deuxième trimestre de l’année 2020 par la Municipalité de [...] ». Les places de stationnement ne sont pas mentionnées dans l’état de fait. De</w:t>
      </w:r>
    </w:p>
    <w:p>
      <w:r>
        <w:t>- 10 - plus, le constat communal établi le 10 juillet 2020 auquel fait référence l’ordonnance pénale, n’englobe pas davantage la problématique des places de stationnement. Il s’ensuit que le principe d’immutabilité de l’accusation fait obstacle à la condamnation de l’intimé. Par surabondance, il ressort du jugement que C.________ projetait de construire trois places de parc sous couvert métallique démontable, à une distance proche de la bordure de la parcelle, alors que celles prévues par l’enquête publique étaient au nombre de deux et bien en retrait de la limite (jgt, p. 7). Le premier juge a également retenu que la nouvelle disposition des places de parc et l’augmentation de leur nombre avaient été évoquées dans les discussions avec la commune comme ayant seulement été projetées et qu’un permis de construire avait depuis lors été octroyé (jgt, p. 9). Le Ministère public ne soutient pas que cette appréciation serait arbitraire. Il s’ensuit qu’aucun élément ne permet de considérer que l’intimé aurait procédé à la construction des places de parc litigieuses avant d’y avoir été autorisé, si bien qu’au regard de l’absence de l’exécution de travaux de construction, l’art. 103 al. 1 LATC n’a pas été violé. Le jugement entrepris doit dès lors également être confirmé sur ce point. 5. 5.1 Le Ministère public critique le montant de l’amende fixée par le Tribunal de police. Il considère que celle-ci est insuffisante compte tenu de la culpabilité de l’intimé, qui devrait être qualifiée de lourde.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w:t>
      </w:r>
    </w:p>
    <w:p>
      <w:r>
        <w:t>- 11 -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 5.2.2 En vertu de l’art. 106 al. 1 CP (Code pénal suisse du 21 décembre 1937 ; RS 311.0), sauf disposition contraire de la loi, le montant maximum de l’amende est de 10'000 francs. L’art. 130 al. 1 LATC prévoit que celle-ci peut s’élever jusqu’à 200'000 francs. Le juge fixe l’amende et la peine privative de liberté de substitution en tenant compte de la situation de l’auteur afin que la peine corresponde à la faute commise (art. 106 al. 3 CP). Selon la jurisprudence,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[éd.], op.cit., n. 7 ad art. 106 CP).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w:t>
      </w:r>
    </w:p>
    <w:p>
      <w:r>
        <w:t>- 12 - cette disposition ou lorsqu’il a abusé de son pouvoir d’appréciation en fixant une peine exagérément sévère ou excessivement clémente (ATF 134 IV 17 consid. 2.1 ; TF 6B_327/2011 du 7 juillet 2011 consid. 2.1). S’agissant d’une contravention de droit cantonal, les principes qui précèdent s’appliquent en fonction du renvoi de l’art. 20 al. 1 LContr au droit pénal général. 5. En l’occurrence, le tribunal a qualifié le degré de culpabilité de C.________ de minime au vu des faits finalement retenus, soit l’installation non autorisée d’une palissade de chantier. Il a néanmoins relevé que plusieurs permis de construire avaient été octroyés dans des procédures de régularisation après construction et que l’on pouvait y voir le signe que le prévenu ne se gênait pas pour mettre la collectivité devant le fait accompli. Cette appréciation ne prête pas le flanc à la critique. En outre, l’amende infligée par le premier juge, à hauteur de 500 fr., est adéquate au regard de la situation personnelle du prévenu, qui est salarié de son entreprise, avec deux enfants à charge, et correspond à la faute commise. Elle doit donc être confirmée, de même que la peine privative de liberté de substitution de 2 jours en cas d’absence fautive de paiement. 6. Vu la libération de C.________ s’agissant de l’essentiel des faits reprochés, il se justifiait de lui allouer une indemnité fondée sur l’art. 429 al. 1 let. a CPP, dont la quotité n’est en tant que telle pas contestée par l’appelant. Elle sera donc confirmée. 7. En définitive, l’appel du Ministère public doit être rejeté et le jugement de première instance intégralement confirmé. Vu l’issue de la cause, les frais de la procédure d’appel, constitués en l’espèce de l'émolument d’arrêt, par 1'210 fr. (art. 21 al. 1</w:t>
      </w:r>
    </w:p>
    <w:p>
      <w:r>
        <w:t>- 13 - TFIP [Tarif des frais de procédure et indemnités en matière pénale du 28 septembre 2010 ; BLV 312.03.1]), seront laissés à la charge de l’Etat. Il n’y a pas lieu d’allouer à C.________ une indemnité pour les dépenses occasionnées par l’exercice raisonnable de ses droits de procédure en seconde instance, dès lors qu’il n’a pas été invité à se déterminer sur l’appel du Ministère public.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