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PE21.008176 vom 28. Mai 2021</w:t>
      </w:r>
    </w:p>
    <w:p>
      <w:r>
        <w:t>VD Tribunal cantonal, 2021-05-28, FR</w:t>
      </w:r>
    </w:p>
    <w:p>
      <w:r>
        <w:rPr>
          <w:b/>
        </w:rPr>
        <w:t xml:space="preserve">Quelle: </w:t>
      </w:r>
      <w:r>
        <w:t>https://mcp.opencaselaw.ch/entscheid/vd_gerichte_PE21.008176</w:t>
      </w:r>
    </w:p>
    <w:p>
      <w:r>
        <w:t>FR: VD_GERICHTE PE21.008176 du 28 mai 2021</w:t>
      </w:r>
    </w:p>
    <w:p>
      <w:r>
        <w:t>IT: VD_GERICHTE PE21.008176 del 28 maggio 2021</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de X.________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- 4 -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fait valoir que les éléments constitutifs de l’abus de confiance seraient réalisés et qu’une instruction pénale devrait être ouverte.</w:t>
      </w:r>
    </w:p>
    <w:p>
      <w:r>
        <w:t>- 5 -</w:t>
      </w:r>
    </w:p>
    <w:p>
      <w:r>
        <w:rPr>
          <w:b/>
        </w:rPr>
        <w:t>E. 3.2</w:t>
      </w:r>
    </w:p>
    <w:p>
      <w:r>
        <w:t>A teneur de l'art. 138 ch. 1 CP,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(al. 2), sera puni d’une peine privative de liberté de cinq ans au plus ou d’une peine pécuniaire (al. 3). L’abus de confiance commis au préjudice des proches ou des familiers ne sera poursuivi que sur plainte (al. 4).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Corboz, Les infractions en droit suisse, vol. I, 3e éd., Berne 2010, n° 4 ad art. 138 CP). Le comportement délictueux consiste à utiliser la valeur patrimoniale contrairement aux instructions reçues, en s'écartant de la destination fixée (ATF 129 IV 257 consid. 2.2.1 et les références citées).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ATF 121 IV 23 consid. 1c ; TF 6B 819/2018 du 25 janvier 2019 consid. 3.4). Du point de vue subjectif, l'auteur doit agir intentionnellement et dans un dessein d'enrichissement illégitime (ATF 118 IV 32 consid. 2a; TF 6B_918/2019 du 28 novembre 2019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w:t>
      </w:r>
    </w:p>
    <w:p>
      <w:r>
        <w:t>- 6 - confié à disposition de l'ayant droit qu'à un moment déterminé ou à l'échéance d'un délai déterminé ne s'enrichit illégitimement que s'il n'a pas la volonté et la capacité de le restituer à ce moment précis (ATF 133 IV 21 consid. 6.1.2; ATF 118 IV 27 consid. 3a ; TF 6B_54/2019 du 3 mai 2019 consid. 2.1).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TF 6B_1429/2019 du 5 février 2020 consid. 2.2; TF 6B_972/2018 du 20 novembre 2018 consid. 2.4.1).</w:t>
      </w:r>
    </w:p>
    <w:p>
      <w:r>
        <w:rPr>
          <w:b/>
        </w:rPr>
        <w:t>E. 3.3</w:t>
      </w:r>
    </w:p>
    <w:p>
      <w:r>
        <w:t>La question de savoir si les objets mobiliers qui garnissaient le domicile conjugal sont ou non des choses confiées au sens de l’art. 138 al. 1 CP lorsque le juge attribue la jouissance exclusive du logement conjugal à l’un des époux peut demeurer ouverte. En effet, l’infraction d’abus de confiance n’apparaît de toute façon pas réalisée dès lors que cette infraction suppose que l’appropriation ait pour objet une chose mobilière appartenant à autrui. Or, la convention sur les effets accessoires, qui contient la clause usuelle selon laquelle, sous réserve des autres dispositions prises, chaque partie est reconnue seule propriétaire des biens et objets en sa possession (cf. art. II/G de la convention ratifiée dans le jugement du 29 mai 2019), ne contient aucune disposition qui concernerait les objets revendiqués par le recourant. Partant, il ressort des pièces produites que les objets sont désormais la propriété de O.________. Le refus de celle-ci de les restituer au recourant ne constitue dès lors pas un abus de confiance. On ne voit pas non plus dans le comportement dénoncé d’indice d’une autre infraction contre le patrimoine. En définitive, c’est donc à juste titre que le Ministère public a refusé d’entrer en matière sur la plainte déposée par le recourant.</w:t>
      </w:r>
    </w:p>
    <w:p>
      <w:r>
        <w:t>- 7 -</w:t>
      </w:r>
    </w:p>
    <w:p>
      <w:r>
        <w:rPr>
          <w:b/>
        </w:rPr>
        <w:t>E. 4</w:t>
      </w:r>
    </w:p>
    <w:p>
      <w:r>
        <w:t>Le recours, manifestement mal fondé, doit être rejeté sans échange d'écritures (art. 390 al. 2 CPP) et l’ordonnance entreprise confirmée. Les frais de la procédure de recours, par 660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14 mai 2021 est confirmée. III. Les frais d'arrêt, par 660 fr. (six cent soixante francs), sont mis à la charge de X.________. IV. L’arrêt est exécutoire. Le président : La greffière : Du Le présent arrêt, dont la rédaction a été approuvée à huis clos, est notifié, par l'envoi d'une copie complète, à : - Me Loraine Michaud Champendal, avocate (pour X.________), - Ministère public central,</w:t>
      </w:r>
    </w:p>
    <w:p>
      <w:r>
        <w:t>- 8 -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