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PE21.007961 vom 6. Dezember 2021</w:t>
      </w:r>
    </w:p>
    <w:p>
      <w:r>
        <w:t>VD Tribunal cantonal, 2021-12-06, FR</w:t>
      </w:r>
    </w:p>
    <w:p>
      <w:r>
        <w:rPr>
          <w:b/>
        </w:rPr>
        <w:t xml:space="preserve">Quelle: </w:t>
      </w:r>
      <w:r>
        <w:t>https://mcp.opencaselaw.ch/entscheid/vd_gerichte_PE21.007961</w:t>
      </w:r>
    </w:p>
    <w:p>
      <w:r>
        <w:t>FR: VD_GERICHTE PE21.007961 du 6 décembre 2021</w:t>
      </w:r>
    </w:p>
    <w:p>
      <w:r>
        <w:t>IT: VD_GERICHTE PE21.007961 del 6 dicembre 2021</w:t>
      </w:r>
    </w:p>
    <w:p>
      <w:pPr>
        <w:pStyle w:val="Heading2"/>
      </w:pPr>
      <w:r>
        <w:t>Erwägungen</w:t>
      </w:r>
    </w:p>
    <w:p>
      <w:r>
        <w:rPr>
          <w:b/>
        </w:rPr>
        <w:t>E. 20</w:t>
      </w:r>
    </w:p>
    <w:p>
      <w:r>
        <w:t>à 30 secondes (PV aud. 6, l. 49, p. 2), l’App J.________ 30 secondes (PV aud. 7, l. 60, p. 2), alors que le Cpl S.________ a parlé d’environ 10 secondes (PV aud. 8, R. 7, p. 3 in fine). A cet égard, il y a lieu de relever que le premier véhicule arrivé sur les lieux est celui conduit par l’App J.________ accompagné du Sgtm C.________. Le Cpl S.________ est le garde- frontière qui a déployé la herse au niveau de la sortie d’autoroute de Coppet et qui est arrivé sur les lieux de l’interpellation après que celle-ci avait été réalisée et les prévenus sortis de leur véhicule. Son témoignage sur l’écoulement du temps entre l’immobilisation du véhicule poursuivi et l’arrivée effective des forces de l’ordre n’apparaît donc pas comme le plus décisif et il y a lieu de lui préférer celui des agents arrivés en premier sur les lieux, lesquels ont évoqué un laps de temps compris entre 20 et 30 secondes. Au bénéfice du doute, il convient donc de retenir 30 secondes. Par ailleurs, si le passager du premier véhicule est péremptoire sur le fait qu’il n’a pas quitté des yeux un seul instant la voiture qu’il poursuivait avec son collègue, il n’en va pas de même du conducteur, qui a déclaré : « Pour répondre à votre question, nous n’avons pas eu de contact visuel de manière ininterrompue sur le véhicule en question entre le moment où nous nous sommes réengagés sur l’autoroute à Coppet et le moment où nous avons aperçu le véhicule arrêté sur la bande d’arrêt d’urgence. Nous avons eu un petit moment d’hésitation, ne sachant pas immédiatement s’il s’agissait du véhicule que nous poursuivions ou d’un autre véhicule. Dès que nous avons remarqué le numéro de plaques et le type de véhicule, nous avons compris. » (PV aud. 7, ll. 63 à 69, p. 2). Enfin,</w:t>
      </w:r>
    </w:p>
    <w:p>
      <w:r>
        <w:t>- 21 - les images versées au dossier montrant l’entrée d’autoroute de Coppet jusqu’au lieu de l’interpellation (P. 26) confirment qu’il était très difficile aux agents, pour ne pas dire impossible, de conserver une vision « ininterrompue » de la voiture en fuite comme l’affirme le Sgt C.________ (cf. PV aud. 6, l. 54, p. 2). Il faut en déduire que la situation décrite par les agents peu avant l’interpellation n’apparaît pas suffisamment évidente pour constituer un indice pertinent sur lequel fonder la conviction de l’autorité judiciaire. Compte tenu des circonstances, le temps qui s’est écoulé entre l’arrêt du véhicule en fuite et l’arrivée des forces de l’ordre n’exclut ainsi pas en lui-même un changement de place entre les deux prévenus. Cela étant, les autres éléments mentionnés par les premiers juges sont quant à eux pertinents et constituent un faisceau d’indices concordants suffisant pour que la Cour de céans s’estime convaincue de la culpabilité de l’appelant vis-à-vis des faits qui lui sont reprochés. Contrairement à ce qu’il soutient, le témoignage du Cpl G.________ permet de retenir que la voiture était fermée à clé lors de son intervention (cf. PV aud. 10, ll. 56 ss). Quant au fait que les prévenus ne portaient pas leurs ceintures de sécurité au moment de leur interpellation, cet élément n’est pas de nature à contredire l’appréciation qu’il convient de faire des événements. Au vu des éléments qui précèdent, il y a donc lieu de retenir que l’appelant était bel et bien le conducteur du véhicule en cause la nuit en question. 4. 4.1 Partant de la prémisse qu’il ne serait pas le conducteur du véhicule en cause, l’appelant considère qu’il devrait être libéré du chef d’accusation de mise en danger de la vie d’autrui. Dans l’hypothèse où il devait néanmoins être retenu qu’il était le conducteur dudit véhicule au moment des faits, il fait valoir que la manœuvre effectuée n’aurait pas visé à mettre en danger le Cpl S.________ et que l’infraction devrait au surplus être considérée comme absorbée par l’art. 90 al. 3 LCR (Loi du 19 décembre 1958 sur la circulation routière ; RS 741.01). Il conteste en outre toute intention délictueuse, en particulier toute absence de</w:t>
      </w:r>
    </w:p>
    <w:p>
      <w:r>
        <w:t>- 22 - scrupules, faisant valoir que si la voiture a changé de voie de circulation, ce n’était pas pour viser le Cpl S.________, mais pour l’éviter. L’appelant relève encore que son véhicule ne circulait qu’à une vitesse de 50 km/h, ce qui exclurait toute volonté de renverser l’agent, rappelant que celui-ci n’avait pas de lampe sur lui et qu’il avait demandé à sa collègue d’éteindre le gyrophare de leur voiture banalisée pour ne pas être aperçu du véhicule en fuite. Il soutient enfin qu’il n’aurait jamais été question de mettre en danger la vie du Cpl S.________, mais uniquement d’éviter l’interpellation, les événements s’inscrivant dans la continuité de la course-poursuite. 4.2 A teneur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6B_418/2021 précité ; TF 6B_144/2019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 TF 6B_876/2015 du 2 mai 2016 consid. 2.1 non publié in ATF 142 IV 245). L'immédiateté disparaît ou s'atténue lorsque s'interposent ou surviennent des actes ou d'autres éléments extérieurs (ATF 106 IV 12</w:t>
      </w:r>
    </w:p>
    <w:p>
      <w:r>
        <w:t>- 23 - consid. 2a ; TF 6B_418/2021 précité ; TF 6B_526/2021 du 22 décembre 2021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6B_418/2021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6B_418/2021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 ; TF 6B_526/2021 précité ; TF 6B_1031/2020 du 6 mai 2021 consid. 3.1 ; TF 6B_1385/2019 du 27 février 2020 consid. 3.1 et les références citées).</w:t>
      </w:r>
    </w:p>
    <w:p>
      <w:r>
        <w:t>- 24 - La question de savoir si un concours idéal entre l’art. 90 al. 3 LCR – qui sanctionne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 et l’art. 129 CP peut avoir lieu est controversée en doctrine. Une partie de la doctrine considère que l’art. 90 al. 3 LCR est le pendant de l’art. 129 CP, de sorte qu’il prime ce dernier article dans le domaine de la circulation routière. Une autre partie de la doctrine est d’avis que l’art. 129 CP absorbe l’art. 90 al. 3 LCR, mais qu’un concours réel est possible lorsque la mise en danger concerne encore d’autres usagers de la route (ATF 142 IV 245 précité consid. 2.3, JdT 2016 I 198). 4.3 Avec l’autorité de première instance, il y a lieu de retenir que l’appelant a délibérément visé le Cpl S.________ pour assurer sa fuite. Les déclarations du garde-frontière ne laissent en effet place à aucune ambiguïté à cet égard : « Le dit véhicule semblait vouloir prendre la direction de Divonne-les-Bains. Je me suis donc positionné sur la voie côté Lac, en vue de jeter mon Stop Stick sous les roues de la voiture si elle prenait la direction de Divonne-les-Bains. Cependant, la VW Golf a changé de voie, en se mettant sur la même voie que moi et a roulé dans ma direction. Dès lors, j’ai changé de côté et me suis mis sur la voie en direction de Divonne-les-Bains. C’est là, que le véhicule a, à nouveau, changé de voie se mettant sur la mienne. J’ai une troisième fois changé de voie et me suis positionné sur celle côté Lac. La VW Golf a encore une fois changé de voie pour me foncer dessus. A cet instant, la voiture devait être à environ 20 mètres de moi. Il m’est apparu que le conducteur cherchait délibérément à me percuter en changeant de voie et en me suivant dans mes déplacements. Je n’ai pas eu le temps de voir les occupants du véhicule. J’ai alors lancé mon Stop Stick sur la voie où je me trouvais, soit sur la voie côté Lac, puis j’ai dû faire un bond de côté afin de ne pas être percuté par le véhicule. Celui-ci n’a jamais ralenti et est passé très près de moi, soit à un mètre environ, à une vitesse qui ne lui aurait pas permis de</w:t>
      </w:r>
    </w:p>
    <w:p>
      <w:r>
        <w:t>- 25 - s’arrêter si je ne m’étais pas écarté de sa route. Alors qu’il passait à ma hauteur, le véhicule a roulé sur le Stop Stick et le pneu arrière droit de la VW Golf a été crevé. » (PV aud. 8, R. 5, p. 3). Les multiples changements de voie du véhicule, lequel est finalement passé à un mètre de l’agent, illustrent de manière éloquente l’absence particulière de scrupules de l’appelant, qui se révèle capable de mettre délibérément en danger de mort un être humain pour protéger sa fuite, ce alors même qu’il soutient en procédure d’appel avoir pensé qu’il ne commettait que de simples contraventions routières. Il y a lieu de relever que l’agent a été contraint de faire un bond de côté pour ne pas être percuté et que si l’un des pneus du véhicule a été crevé par la herse, ce n’est qu’en raison du fait que le garde-frontière l’a finalement jetée au sol à l’endroit où il se trouvait. Le Cpl S.________ était porteur d’un gilet réfléchissant (PV aud. 11, l. 60, p. 2) et sa présence était par conséquent visible par l’appelant lorsqu’il a effectué ses différentes manœuvres. Dans son audition du 19 août 2021, le Cpl S.________ a également déclaré ce qui suit : « Je tiens a précisé que si je n’avais pas ensuite fait un saut de côté, je me serais retrouvé sous ou sur le véhicule. » (PV aud. 11, ll. 64 s.). Le danger de mort était par conséquent des plus immédiats. Enfin, la sortie d’autoroute comportait deux voies de circulation parfaitement libres à cet endroit, ce qui aurait aisément permis à l’appelant de faire passer son véhicule à bonne distance du garde-frontière si telle avait été sa volonté. L’appelant a donc agi intentionnellement et avec une absence particulière de scrupules. Toutes les conditions objectives et subjectives sont réunies pour retenir l’infraction de mise en danger de la vie d’autrui. Par ailleurs, même s’il s’inscrit dans le cadre de la course- poursuite, le comportement de l’appelant doit être très clairement distingué des infractions au code de la route réprimées sous l’angle de l’art. 90 al. 3 LCR, dès lors qu’il ne s’agit pas ici de violer intentionnellement les règles fondamentales de la circulation routière en acceptant de courir un grand risque d’accident pouvant entraîner de graves blessures ou la mort, mais d’accomplir un comportement indépendant visant à utiliser un véhicule comme arme contre un agent des forces de l’ordre. Le comportement adopté par l’appelant quitte ainsi</w:t>
      </w:r>
    </w:p>
    <w:p>
      <w:r>
        <w:t>- 26 - le simple champ d’application de la loi sur la circulation routière, son intention étant de menacer le plus concrètement possible l’intégrité physique d’un être humain pour des raisons parfaitement étrangères à la seule volonté d’enfreindre le code de la route. Il se justifie par conséquent de retenir la mise en danger de la vie d’autrui en concours réel avec la violation grave qualifiée des règles de la circulation routière, les intérêts juridiques protégés par ces deux infractions étant différents. Ce moyen doit donc être rejeté et la condamnation de l’appelant pour mise en danger de la vie d’autrui et violation grave qualifiée des règles de la circulation routière confirmée. 5. L’appelant, qui conclut à sa libération des infractions de dénonciation calomnieuse et de conduite d’un véhicule automobile malgré une incapacité de conduire, ne formule aucun grief spécifique à l’encontre de ces chefs d’accusation. Dès lors que la Cour de céans retient que V.________ était le conducteur du véhicule en cause la nuit du 2 au 3 mai 2021, il y a lieu de se référer aux considérants pertinents du jugement attaqué quant à la réalisation, par l’appelant, des éléments constitutifs des infractions de dénonciation calomnieuse et de conduite d’un véhicule automobile malgré une incapacité de conduire, le raisonnement tenu par l’autorité de première instance pouvant être confirmé par adoption de motifs (pp. 35 et 36 ; art. 82 al. 4 CPP). La condamnation de l’appelant pour dénonciation calomnieuse et conduite d’un véhicule automobile malgré une incapacité de conduire doit donc être maintenue. 6. 6.1 L’appelant conteste encore la sanction prononcée à son encontre, qu’il considère comme extrêmement sévère et disproportionnée. Il reproche en particulier aux premiers juges d’avoir posé un pronostic mitigé à son sujet pour ne lui accorder qu’un sursis partiel, mettant en avant son absence d’antécédents et l’emploi qu’il exerce actuellement comme intérimaire dans un laboratoire d’analyses</w:t>
      </w:r>
    </w:p>
    <w:p>
      <w:r>
        <w:t>- 27 - médicales à Lausanne pour justifier l’octroi d’un sursis complet. L’appelant relève qu’il a dû s’occuper de sa mère malade, décédée en 2019, et qu’il rembourse toujours un emprunt contracté pour ses études. Il fait valoir que les difficultés pour trouver un emploi stable directement dans le domaine de formation d’une personne diplômée seraient notoires et qu’il aurait très bien pu se retrouver au chômage ou à l’aide sociale. Il relève enfin qu’une peine ferme entraînerait la perte de son emploi et aggraverait sa situation personnelle et financière. Il estime ainsi qu’une peine assortie d’un délai d’épreuve de cinq ans constituerait un garde-fou suffisant.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t>- 28 - 6.2.2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6.2.3 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w:t>
      </w:r>
    </w:p>
    <w:p>
      <w:r>
        <w:t>- 29 -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 6.3 La culpabilité de l’appelant est lourde. Pour satisfaire ses plaisirs égoïstes, il n’a pas hésité à mettre en danger la vie des usagers de la route et celle d’un garde-frontière. L’appelant n’assume pas son comportement aussi aberrant que dangereux, accusant son comparse pour se disculper. Encore au stade de l’appel, soit de nombreux mois après les faits, il persiste à nier l’évidence et va même jusqu’à soutenir</w:t>
      </w:r>
    </w:p>
    <w:p>
      <w:r>
        <w:t>- 30 - devant la Cour d’appel, pour la première fois, qu’il aurait demandé à plusieurs reprises à son comparse de stopper le véhicule pendant la course-poursuite, ce qui traduit une absence complète de remise en question. Le type de comportement adopté par l’appelant atteint une telle extrémité qu’il ne saurait être question d’attendre l’irréparable pour prononcer une peine d’une certaine sévérité. A l’instar de l’autorité de première instance, la Cour de céans ne discerne pas d’élément à décharge, étant rappelé que l’absence d’antécédents est un élément neutre dans le cadre de l’appréciation de la culpabilité (ATF 136 IV 1). Quant à l’effet de la peine sur l’avenir du condamné, il ne permet, en tant qu’élément de prévention spéciale, que des corrections marginales, la peine devant toujours rester proportionnée à la faute (TF 6B_94/2021 du 29 septembre 2021 consid. 6.3 ; TF 6B_484/2020 du 21 janvier 2021 consid. 10.1 ; TF 6B_289/2020 du 1er décembre 2020 consid. 13.3.1 et les arrêts cités). L’appelant est ainsi reconnu coupable de mise en danger de la vie d’autrui, de dénonciation calomnieuse, de violation grave qualifiée des règles de la circulation routière et de conduite d’un véhicule automobile malgré une incapacité de conduire. Une peine privative de liberté s’impose pour sanctionner les infractions commises pour des motifs de prévention spéciale, dans la mesure où l’appelant n’a aucunement pris conscience de la gravité de ses actes. L’infraction la plus grave est la mise en danger de la vie d’autrui, qui justifie à elle seule le prononcé d’une peine privative de liberté de dix- huit mois. Les effets du concours conduisent à l’augmentation de cette peine de base de douze mois pour sanctionner la violation grave qualifiée des règles de la circulation routière, de trois mois pour réprimer la dénonciation calomnieuse et de trois mois supplémentaires pour sanctionner la conduite d’un véhicule automobile malgré une incapacité de conduire. Il résulte de ce qui précède que c’est une peine privative de liberté de trente-six mois qui aurait dû être infligée à l’appelant, de sorte</w:t>
      </w:r>
    </w:p>
    <w:p>
      <w:r>
        <w:t>- 31 - que la peine privative de liberté de vingt-quatre mois prononcée par les premiers juges n’est manifestement pas excessivement sévère, bien au contraire. Dans la mesure où la quotité de cette peine ne peut pas être augmentée sous peine de violer le principe de l’interdiction de la reformatio in pejus, la peine privative de liberté de vingt-quatre mois prononcée par les premiers juges sera confirmée. L’absence de toute remise en question de l’appelant devrait conduire à formuler un pronostic entièrement défavorable et à exclure l’octroi du sursis, même partiel, surtout dès lors qu’il persiste à contester sa responsabilité s’agissant des infractions les plus graves. La Cour de céans peut toutefois concevoir, s’agissant d’un primo-délinquant, que l’exécution d’une partie de la peine privative de liberté serait de nature à améliorer le pronostic, étant précisé que pour des motifs de prévention spéciale, il apparaît indispensable que l’appelant exécute une partie de la peine privative de liberté prononcée contre lui afin de favoriser une prise de conscience de la gravité de son comportement, et ce pour autant que le solde de la peine soit suffisamment significatif pour présenter un caractère dissuasif et que le délai d’épreuve soit fixé pour une longue durée afin d’offrir la plus grande probabilité qu’il ne récidivera pas. Il existe en effet des doutes très importants quant au comportement que l’appelant est susceptible d’adopter à l’avenir et sa récente activité en qualité d’intérimaire ne permet pas d’infléchir favorablement cette appréciation. C’est donc à juste titre que les premiers juges ont considéré qu’il ne se justifiait pas d’octroyer le sursis complet à l’appelant et qu’ils ont assorti la peine privative de liberté de vingt-quatre mois prononcée à son encontre d’un sursis partiel, à raison de six mois ferme et de dix-huit mois avec sursis pendant cinq ans. 6.4 Conformément à l’art. 51 CP, la détention subie avant jugement sera déduite de la peine privative de liberté prononcée.</w:t>
      </w:r>
    </w:p>
    <w:p>
      <w:r>
        <w:t>- 32 - 7. 7.1 L’appelant, qui conclut notamment à son acquittement du chef de prévention de mise en danger de la vie d’autrui, conteste l’expulsion du territoire suisse prononcée à son encontre. 7.2 Aux termes de l'art. 66a al. 1 let. b CP, le juge expulse de Suisse l'étranger qui est condamné pour mise en danger de la vie d’autrui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w:t>
      </w:r>
    </w:p>
    <w:p>
      <w:r>
        <w:t>- 33 -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 7.3 En l’espèce, la condamnation de l’appelant pour mise en danger de la vie d’autrui étant confirmée, celui-ci remplit les conditions d’une expulsion obligatoire, sous réserve d’une application de l’art. 66a al. 2 CP. L’appelant, qui est né en France, où il a grandi, effectué des études et où il réside encore à l’heure actuelle, ne fait valoir aucune attache particulière avec la Suisse, si ce n’est une intégration conforme à ce qui peut être attendu et son récent emploi au bénéfice d’un permis de frontalier auprès d’un laboratoire d’analyses médicales à Lausanne. Ces éléments sont toutefois insuffisants pour justifier l’application de la clause de rigueur permettant de renoncer à son expulsion. Contrairement à ce qu’il soutient, la situation professionnelle de l’appelant n’est pas stable, celui-ci ayant été placé chez [...] il y a quatre mois seulement au bénéfice d’un contrat de mission. L’appelant est par ailleurs célibataire, n’a pas d’enfant, et sa famille et ses plus proches soutiens, notamment son frère et [...], résident en France. Dès lors, s’il ne faut pas sous-estimer les conséquences pénibles découlant nécessairement d’une décision d’expulsion, cette mesure ne le placerait manifestement pas dans une situation personnelle grave. En effet, rien ne permet de supposer qu’il rencontrerait des difficultés à s’insérer socialement et professionnellement</w:t>
      </w:r>
    </w:p>
    <w:p>
      <w:r>
        <w:t>- 34 - en France, pays qu’il n’a au demeurant jamais quitté, où il a étudié et travaillé et où il dispose de ses seules véritables attaches. L’expulsion de l’appelant constitue donc une mesure proportionnée compte tenu de son absence d’attaches particulières avec la Suisse et de la gravité des infractions retenues. L’appel de V.________ doit ainsi être rejeté sur ce point également et son expulsion du territoire suisse pour cinq ans, soit la durée minimale prévue par la loi, confirmée. 8. En définitive, l’appel de V.________ doit être rejeté et le jugement entrepris intégralement confirmé. Il n’y a pas lieu de s’écarter de la liste des opérations produite par Me Mirjam Richon-Bruder, défenseur d’office de V.________, qui fait état de 12.45 heures d’activité d’avocate hors audience d’appel, de débours forfaitaires à concurrence de 2 % des honoraires et d’une vacation, TVA en sus, si ce n’est pour y ajouter 0.75 heure pour les débats d’appel. Ainsi, en définitive, une indemnité de défenseur d’office d'un montant de 2’739 fr. 35, correspondant à une activité de 13.2 heures au tarif horaire de 180 fr., par 2’376 fr., à des débours à hauteur de 47 fr. 50 (art. 3bis RAJ [Règlement sur l’assistance judiciaire en matière civile du 7 décembre 2010 ; BLV 211.02.3], par renvoi de l’art. 26b TFIP [Tarif des frais de procédure et indemnités en matière pénale du 28 septembre 2010 ; BLV 312.03.1]), à une vacation à 120 fr. et à la TVA au taux de 7,7 %, par 195 fr. 85, sera allouée à Me Mirjam Richon-Bruder pour la procédure d’appel. Vu l'issue de la cause, les frais de la procédure d'appel, par 6'109 fr. 35, constitués de l'émolument du présent jugement, par 3’370 fr. (art. 21 al. 1 et 2 TFIP), ainsi que de l’indemnité allouée à son défenseur d’office, par 2’739 fr. 35, seront mis à la charge de l’appelant, qui succombe (art. 428 al. 1 CPP). V.________ sera tenu de rembourser à l’Etat le montant de l’indemnité en faveur de son défenseur d’office lorsque sa situation financière le permettra (art. 135 al. 4 CPP).</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