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PE21.007814 vom 10. Juni 2021</w:t>
      </w:r>
    </w:p>
    <w:p>
      <w:r>
        <w:t>VD Tribunal cantonal, 2021-06-10, FR</w:t>
      </w:r>
    </w:p>
    <w:p>
      <w:r>
        <w:rPr>
          <w:b/>
        </w:rPr>
        <w:t xml:space="preserve">Quelle: </w:t>
      </w:r>
      <w:r>
        <w:t>https://mcp.opencaselaw.ch/entscheid/vd_gerichte_PE21.007814</w:t>
      </w:r>
    </w:p>
    <w:p>
      <w:r>
        <w:t>FR: VD_GERICHTE PE21.007814 du 10 juin 2021</w:t>
      </w:r>
    </w:p>
    <w:p>
      <w:r>
        <w:t>IT: VD_GERICHTE PE21.007814 del 10 giugno 2021</w:t>
      </w:r>
    </w:p>
    <w:p>
      <w:pPr>
        <w:pStyle w:val="Heading2"/>
      </w:pPr>
      <w:r>
        <w:t>Erwägungen</w:t>
      </w:r>
    </w:p>
    <w:p>
      <w:r>
        <w:rPr>
          <w:b/>
        </w:rPr>
        <w:t>E. 1.1</w:t>
      </w:r>
    </w:p>
    <w:p>
      <w:r>
        <w:t>Le prononcé par lequel un tribunal de première instance statue sur la validité de l'opposition formée par le prévenu contre une ordonnance pénale rendue par une autorité administrative instituée en</w:t>
      </w:r>
    </w:p>
    <w:p>
      <w:r>
        <w:t>- 4 - vue de la poursuite et du jugement des contraventions (cf. art. 356 al. 2 CPP par renvoi de l’art. 357 al. 2 CPP), est susceptible de recours selon les art. 393 ss CPP (Juge unique CREP 19 mai 2020/384 et les réf.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Interjeté en temps utile devant l’autorité compétente par la prévenue qui a qualité pour recourir (art. 382 al. 1 CPP) et dans les formes prescrites (art. 385 al. 1 CPP), le recours est recevable en tant qu’il est dirigé contre le prononcé rendu le 11 mai 2021 par le Tribunal de police de l'arrondissement de Lausanne. Les conclusions tendant à l’annulation des autres décisions sont toutefois irrecevables, faute de voies de recours devant la Cour de céans contre ces décisions.</w:t>
      </w:r>
    </w:p>
    <w:p>
      <w:r>
        <w:rPr>
          <w:b/>
        </w:rPr>
        <w:t>E. 1.2</w:t>
      </w:r>
    </w:p>
    <w:p>
      <w:r>
        <w:t>L'art. 395 let. a CPP prévoit que, si l’autorité de recours est un tribunal collégial – ce qui est le cas de la Chambre des recours pénale du Tribunal cantonal, laquelle statue à trois juges (art. 67 al. 1 let. 1 LOJV [Loi d’organisation judiciaire du 12 décembre 1979 ; BLV 173.01] ; art. 12 al. 1 ROTC [Règlement organique du Tribunal cantonal du 13 novembre 2007 ; BLV 173.31.1]) –, sa direction de la procédure statue seule sur le recours lorsqu’il porte exclusivement sur des contraventions. Tel est le cas en l’espèce, de sorte qu’un membre de la Chambre des recours pénale est compétent pour statuer en tant que juge unique (art. 13 al. 2 LVCPP [Loi d’introduction du Code de procédure pénale suisse du 19 mai 2009 ; BLV 312.01] ; Juge unique CREP 17 juillet 2019/575 et les réf. citées).</w:t>
      </w:r>
    </w:p>
    <w:p>
      <w:r>
        <w:rPr>
          <w:b/>
        </w:rPr>
        <w:t>E. 2</w:t>
      </w:r>
    </w:p>
    <w:p>
      <w:r>
        <w:t>- 5 -</w:t>
      </w:r>
    </w:p>
    <w:p>
      <w:r>
        <w:rPr>
          <w:b/>
        </w:rPr>
        <w:t>E. 2.1</w:t>
      </w:r>
    </w:p>
    <w:p>
      <w:r>
        <w:t>L’autorité pénale compétente en matière de contraventions peut rendre une ordonnance pénale lorsque les conditions prévues à l'art. 352 al. 1 CPP sont réunies (art. 357 al. 2 CPP).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356 al. 2 CPP, le tribunal de première instance statue sur la validité de l'ordonnance pénale et de l'opposition (art. 8 al. 1 let. c LVCPP). Si l'opposition a été formée tardivement, le tribunal la déclare irrecevable. Elle est tardive si elle a été adressée à l’autorité après le délai de dix jours prévu par l'art. 354 al. 1 CPP. Sauf disposition contraire du Code de procédure pénale, les communications des autorités pénales sont notifiées en la forme écrite (art. 85 al. 1 CPP). La notification se fait en principe par lettre signature ou par tout autre mode de communication impliquant un accusé de réception, notamment par l’entremise de la police (art. 85 al. 2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Selon la jurisprudence du Tribunal fédéral, le fardeau de la preuve de la notification et de la date de celle-ci incombe en principe à l'autorité qui entend en tirer une conséquence juridique (ATF 144 IV 57 consid. 2.3 ; ATF 142 IV 125 consid. 4). L'autorité supporte donc les</w:t>
      </w:r>
    </w:p>
    <w:p>
      <w:r>
        <w:t>- 6 - conséquences de l'absence de preuve en ce sens que si la notification ou sa date sont contestées et qu'il existe effectivement un doute à ce sujet, il y a lieu de se fonder sur les déclarations du destinataire de l'envoi (ATF 142 IV 125 consid. 4.3 ; ATF 129 I 8 consid. 2.2; ATF 124 V 400 consid. 2a ; TF 6B_869/2014 du 18 septembre 2015 consid. 1.2). La preuve de la notification peut néanmoins résulter d'autres indices ou de l'ensemble des circonstances, par exemple un échange de correspondance ultérieur ou le comportement du destinataire (ATF 142 IV 125 consid. 4.3 ; ATF 105 III 43 consid. 2a p. 46). Il s’ensuit que, nonobstant le non-respect de l’art. 85 al. 2 CPP, une notification est également valable selon la jurisprudence fédérale lorsqu’il peut être prouvé d’une autre manière que le destinataire en a eu connaissance et lorsque les intérêts à protéger de ce dernier (droit à être informé) sont garantis (cf. ATF 145 IV 252 consid. 1.3.2 et les réf. cit. ; ATF 144 IV 57 consid. 2.3.2 ; ATF 142 IV 125 consid. 4.3; TF 1B_41/2016 du 24 février 2016, c. 2.2; TF 6B_390/2013 du 6 février 2014, c. 2.3.2; tous trois avec les réf. cit.).</w:t>
      </w:r>
    </w:p>
    <w:p>
      <w:r>
        <w:rPr>
          <w:b/>
        </w:rPr>
        <w:t>E. 2.2</w:t>
      </w:r>
    </w:p>
    <w:p>
      <w:r>
        <w:t>En l’espèce, à juste titre, la recourante ne conteste pas s’être acquittée tardivement du montant de l’amende d’ordre prononcée à son encontre le 17 juin 2020, dès lors que le délai de 30 jours de l’art. 7 al. 2 LAO (Loi sur les amendes d’ordre du 18 mars 2016 ; RS 314.1) était effectivement échu à la date du paiement, soit le 6 août 2020. S’agissant de l’ordonnance pénale du 28 septembre 2020, la recourante ne conteste pas l’avoir reçue. Elle expose cependant qu’elle n’aurait pas réagi « croyant à une erreur », dès lors qu’elle s’était acquittée du montant de l’amende avant la réception de cette ordonnance. Il apparaît donc à la lecture de ces explications, que la recourante a bien pris connaissance de l’ordonnance à réception de celle- ci, soit le 30 septembre 2020 selon les indications ressortant du suivi du courrier « A plus », de sorte que son opposition du 16 mars 2021 est tardive.</w:t>
      </w:r>
    </w:p>
    <w:p>
      <w:r>
        <w:t>- 7 - Même à admettre que la recourante n’a pas reçu alors l’ordonnance du 28 septembre 2020, force est de constater que la recourante a, à tout le moins, eu connaissance de l’ordonnance pénale litigieuse lorsqu’elle a pris connaissance de la sommation du 9 décembre 2020, dont elle admet avoir eu connaissance, sommation qui mentionne cette ordonnance pénale. Dans cette hypothèse également, l’opposition est tardive. Enfin, même dans l’hypothèse la plus favorable à la recourante, à savoir qu’elle n’aurait eu connaissance de l’ordonnance pénale du 28 septembre 2020 qu’à réception du commandement de payer du 10 février 2020 – auquel elle a formé opposition en date du 15 février 2021 –, force est de constater que l’opposition formée le 16 mars 2021 est manifestement tardive. En définitive, c’est à juste titre que le Tribunal de police de l’arrondissement de Lausanne a constaté que l'opposition déposée par X.________ était tardive et l’a déclarée irrecevable. Pour le surplus, comme déjà dit, il n’appartient pas à l’autorité de céans de se prononcer sur la validité des décisions antérieures dont la recourante demande l’annulation.</w:t>
      </w:r>
    </w:p>
    <w:p>
      <w:r>
        <w:rPr>
          <w:b/>
        </w:rPr>
        <w:t>E. 3</w:t>
      </w:r>
    </w:p>
    <w:p>
      <w:r>
        <w:t>Il résulte de ce qui précède que le recours, manifestement mal fondé (art. 390 al. 2 CPP), doit être rejeté, dans la mesure où il est recevable, sans échange d'écritures et le prononcé attaqué confirmé. Les frais de la procédure de recours, arrêtés à 630 fr. (art. 20 al. 1 TFIP [Tarif des frais de procédure et indemnités en matière pénale du 28 septembre 2010 ; BLV 312.03.1]), seront exceptionnellement laissés à la charge de l’Etat.</w:t>
      </w:r>
    </w:p>
    <w:p>
      <w:r>
        <w:t>- 8 - Par ces motifs, le juge unique prononce : I. Le recours est rejeté, dans la mesure où il est recevable. II. Le prononcé du 11 mai 2021 est confirmé. III. Les frais d’arrêt, par 630 fr. (six cent trente francs), sont laissés à la charge de l’Etat. IV. L’arrêt est exécutoire. La juge unique : La greffière : Du Le présent arrêt, dont la rédaction a été approuvée à huis clos, est notifié, par l'envoi d'une copie complète, à : - Mme X.________, - Ministère public central, et communiqué à : - M. le Président du Tribunal de police de l'arrondissement de Lausanne, - M. le Procureur du Ministère public central, division affaires spéciales, - Commission de police de la Ville de Lausanne,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