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PE21.007568 vom 8. Juli 2021</w:t>
      </w:r>
    </w:p>
    <w:p>
      <w:r>
        <w:t>VD Tribunal cantonal, 2021-07-08, FR</w:t>
      </w:r>
    </w:p>
    <w:p>
      <w:r>
        <w:rPr>
          <w:b/>
        </w:rPr>
        <w:t xml:space="preserve">Quelle: </w:t>
      </w:r>
      <w:r>
        <w:t>https://mcp.opencaselaw.ch/entscheid/vd_gerichte_PE21.007568</w:t>
      </w:r>
    </w:p>
    <w:p>
      <w:r>
        <w:t>FR: VD_GERICHTE PE21.007568 du 8 juillet 2021</w:t>
      </w:r>
    </w:p>
    <w:p>
      <w:r>
        <w:t>IT: VD_GERICHTE PE21.007568 del 8 luglio 2021</w:t>
      </w:r>
    </w:p>
    <w:p>
      <w:pPr>
        <w:pStyle w:val="Heading2"/>
      </w:pPr>
      <w:r>
        <w:t>Erwägungen</w:t>
      </w:r>
    </w:p>
    <w:p>
      <w:r>
        <w:rPr>
          <w:b/>
        </w:rPr>
        <w:t>E. 1</w:t>
      </w:r>
    </w:p>
    <w:p>
      <w:r>
        <w:t>let. a CPP, le Ministère public rend immédiatement une ordonnance de non-entrée en matière lorsque les conditions de celle-ci sont réunies. L'art. 318 CPP, applicable uniquement lors de la clôture de l'instruction, ne trouve pas application dans ce cas, une instruction n'ayant pas été ouverte. Dès lors, le Parquet n'avait pas à interpeller les parties avant de rendre sa décision. Il n'y a donc pas eu de violation du droit d'être entendu du recourant. 2.3.2 En ce qui concerne l'infraction de faux dans les titres, X.________ n'invoque, dans sa plainte, aucun élément concret qui permettrait de considérer que cette infraction serait réalisée et son accusation s'apparente plutôt à du « fishing », soit une recherche indéterminée de preuve. Au demeurant, il y a lieu de relever que, dans l'hypothèse où certains décomptes s'avéreraient erronés, il s'agirait tout au plus d'un faux intellectuel et, un tel document ne jouissant à priori pas d'une force probante accrue, les éléments constitutifs de l'infraction de faux dans les titres ne seraient pas réalisés, que cela soit sur le plan objectif ou subjectif. Dès lors, aucun élément concret ne justifiait l'ouverture d'une instruction pénale pour un éventuel faux dans les titres. 2.3.3 S'agissant de l'escroquerie, la réalisation de cette infraction nécessite une tromperie, qui peut consister en des affirmations fallacieuses, la dissimulation de faits vrais ou le fait de conforter autrui dans son erreur. De plus, la tromperie doit être astucieuse. Or, le fait qu'au moment où l'accord a été passé, X.________ n'avait connaissance que d'une partie des frais ne constitue pas en soi une tromperie, encore moins astucieuse, de la part de la Municipalité, et le recourant n'indique aucunement dans sa plainte en quoi il y aurait eu tromperie astucieuse.</w:t>
      </w:r>
    </w:p>
    <w:p>
      <w:r>
        <w:t>- 11 - Pour les frais administratifs, il n'y a pas non plus eu de tromperie astucieuse, puisque tous les frais étaient mentionnés dans les décomptes, ce qui ressort de la plainte de X.________ (p. 8). Par ailleurs, le fait de savoir si certains frais administratifs pouvaient ou non être facturés aux locataires est une question purement civile. Enfin, l'escroquerie est une infraction intentionnelle. L'auteur doit avoir voulu tromper autrui par son comportement. Une simple erreur de sa part ne suffit pas. Or, en l'espèce, la Municipalité n'avait manifestement pas l'intention de tromper autrui par son comportement, aucun élément au dossier ne permettant de le déduire, et le recourant n'explique au demeurant pas en quoi il y aurait lieu de considérer que tel était le cas. Pour tous ces motifs, aucun indice ne justifiait l'ouverture d'une instruction pénale pour une éventuelle escroquerie. 2.3.4 Enfin, concernant la gestion déloyale des intérêt publics, le recourant n'étant à priori pas lésé directement par cette infraction, il ne bénéficie pas d'un intérêt direct lui donnant la qualité pour recourir. Au demeurant, la réalisation de cette infraction exige un dessein spécial, à savoir le dessein de se procurer ou de procurer à un tiers un avantage illicite. Or, X.________ n'explique pas dans sa plainte en quoi tel serait le cas en l'espèce. L'instruction n'avait donc pas lieu d'être ouverte pour gestion déloyale des intérêt publics non plus. 2.4 En définitive, compte tenu des éléments exposés ci-avant, force est de constater que le litige entre le recourant et la Municipalité de [...] est un litige purement civil et que les conditions pour rendre une ordonnance de non-entrée en matière sont réalisées.</w:t>
      </w:r>
    </w:p>
    <w:p>
      <w:r>
        <w:rPr>
          <w:b/>
        </w:rPr>
        <w:t>E. 3</w:t>
      </w:r>
    </w:p>
    <w:p>
      <w:r>
        <w:t>Au vu de ce qui précède, le recours, manifestement mal fondé, doit être rejeté sans échange d’écritures (art. 390 al. 2 CPP) et l’ordonnance entreprise confirmée. Les frais de la procédure de recours, constitués du seul émolument d’arrêt, par 1'210 fr. (art. 20 al. 1 TFIP [tarif des frais de</w:t>
      </w:r>
    </w:p>
    <w:p>
      <w:r>
        <w:t>- 12 - procédure et indemnités en matière pénale du 28 septembre 2010 ; BLV 312.03.1]), seront mis à la charge de X.________, qui succombe (art. 428 al. 1 CPP). Par ces motifs, la Chambre des recours pénale prononce : I. Le recours est rejeté. II. L'ordonnance du 8 juin 2021 est confirmée. III. Les frais d'arrêt, par 1'210 fr. (mille deux cent dix francs), sont mis à la charge de X.________. IV. L’arrêt est exécutoire. Le président : La greffière : Du Le présent arrêt, dont la rédaction a été approuvée à huis clos, est notifié, par l'envoi d'une copie complète, à : - Me Filippo Lurà (pour X.________), - Ministère public central, et communiqué à : - M. le Procureur de l'arrondissement du Nord vaudois, - Me Alain Thevenaz (pour la Municipalité de [...]),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