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PE21.007545 vom 23. Juli 2021</w:t>
      </w:r>
    </w:p>
    <w:p>
      <w:r>
        <w:t>VD Tribunal cantonal, 2021-07-23, FR</w:t>
      </w:r>
    </w:p>
    <w:p>
      <w:r>
        <w:rPr>
          <w:b/>
        </w:rPr>
        <w:t xml:space="preserve">Quelle: </w:t>
      </w:r>
      <w:r>
        <w:t>https://mcp.opencaselaw.ch/entscheid/vd_gerichte_PE21.007545</w:t>
      </w:r>
    </w:p>
    <w:p>
      <w:r>
        <w:t>FR: VD_GERICHTE PE21.007545 du 23 juillet 2021</w:t>
      </w:r>
    </w:p>
    <w:p>
      <w:r>
        <w:t>IT: VD_GERICHTE PE21.007545 del 23 luglio 2021</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w:t>
      </w:r>
    </w:p>
    <w:p>
      <w:r>
        <w:t>- 4 -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devant l’autorité compétente par la partie plaignante qui a qualité pour recourir (art. 382 al. 1 CPP), le recours est recevable, sous réserve de ce qui sera exposé au considérant 4.2 ci-dessous.</w:t>
      </w:r>
    </w:p>
    <w:p>
      <w:r>
        <w:rPr>
          <w:b/>
        </w:rPr>
        <w:t>E. 2.1</w:t>
      </w:r>
    </w:p>
    <w:p>
      <w:r>
        <w:t>Dans son acte du 21 avril 2021, le recourant a requis « une confrontation directe avec les magistrats qui examineront [s]on recours ».</w:t>
      </w:r>
    </w:p>
    <w:p>
      <w:r>
        <w:rPr>
          <w:b/>
        </w:rPr>
        <w:t>E. 2.2</w:t>
      </w:r>
    </w:p>
    <w:p>
      <w:r>
        <w:t>Aux termes de l’art. 397 al. 1 CPP, le recours fait l’objet d’une procédure écrite. Cette procédure n’est pas publique (art. 69 al. 3 let. c CPP). Si le recours n’est pas manifestement irrecevable ou mal fondé, la direction de la procédure notifie le mémoire de recours aux autres parties et à l’autorité inférieure pour qu’elles se prononcent (art. 390 al. 2 CPP). La décision est rendue par voie de circulation ou lors d’une délibération non publique (art. 390 al. 4 CPP). L’autorité de recours peut cependant, en vertu de l’art. 390 al. 5 CPP, ordonner des débats, d’office ou à la demande d’une partie. Une telle démarche doit toutefois demeurer exceptionnelle (Message du 21 décembre 2005 relatif à l’unification du droit de la procédure pénale, FF 2006 p. 1297 ch. 2.9.2 ; TF 1B_332/2019 du 24 juillet 2019 consid. 3.1 ; TF 6B_803/2016 du 20 juillet 2017 consid. 1.2). Par ailleurs, l’art. 29 al. 2 Cst. (Constitution fédérale de la Confédération suisse du 18 avril 1999 ; RS 101) ne confère pas le droit d’être entendu oralement (ATF 134 I 140 consid. 5.3 et les références citées ; TF 1B_422/2014 du 20 janvier 2015 consid. 3.2).</w:t>
      </w:r>
    </w:p>
    <w:p>
      <w:r>
        <w:rPr>
          <w:b/>
        </w:rPr>
        <w:t>E. 2.3</w:t>
      </w:r>
    </w:p>
    <w:p>
      <w:r>
        <w:t>En l’espèce, dans la mesure où l’intéressé a pu faire valoir ses arguments dans le cadre de la procédure, son droit d’être entendu a été respecté. La Chambre de céans n’est ainsi pas tenue de l’auditionner, ce qui ne semble pas utile en l’espèce au vu des arguments d’emblée mal</w:t>
      </w:r>
    </w:p>
    <w:p>
      <w:r>
        <w:t>- 5 - fondés qu’il fait valoir (CREP 18 décembre 2019/1015 consid. 2.2.3 ; CREP 2 décembre 2019/959 consid. 2 ; CREP 14 novembre 2019/920 consid. 2). Sa requête doit dès lors être rejetée.</w:t>
      </w:r>
    </w:p>
    <w:p>
      <w:r>
        <w:rPr>
          <w:b/>
        </w:rPr>
        <w:t>E. 3</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et art. 2 al. 2 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- 6 -</w:t>
      </w:r>
    </w:p>
    <w:p>
      <w:r>
        <w:rPr>
          <w:b/>
        </w:rPr>
        <w:t>E. 4.1</w:t>
      </w:r>
    </w:p>
    <w:p>
      <w:r>
        <w:t>Le recourant voit dans l’ordonnance entreprise un acte de corruption passive de la part du Procureur général, auquel il reproche de ne pas avoir donné de suite appropriée, juste et équitable à ses plaintes. Il se réfère pour le surplus « aux diverses justifications mentionnées » dans celles-ci pour ne pas « répéter […] les nombreuses pages de motifs ».</w:t>
      </w:r>
    </w:p>
    <w:p>
      <w:r>
        <w:rPr>
          <w:b/>
        </w:rPr>
        <w:t>E. 4.2.1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 Heer/Wiprächtiger [éd.], Basler Kommentar, Schweizerische Strafprozessordnung, Jugendstrafprozessordnung, 2e éd., Bâle 2014 [ci-après : Basler Kommentar], n. 1a ad art. 385 StPO ; Pitteloud, Code de procédure pénale suisse, Commentaire à l’usage des praticiens, Zurich/St-Gall 2012, n. 1126 ; CREP 8 juillet 2021/653).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w:t>
      </w:r>
    </w:p>
    <w:p>
      <w:r>
        <w:t>- 7 -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 TF 6B_120/2016 du 20 juin 2016 consid. 3.1 ; Keller, in : Donatsch/Lieber/Summers/Wohlers [éd.], Zürcher Kommentar, Kommentar zur Schweizerischen Strafprozessordnung, 3e éd. 2020, n. 14 ad art. 396 StPO et les références citées ; Calame, in : Jeanneret et al. [éd.], Commentaire romand, Code de procédure pénale suisse, 2e éd., Bâle 2019, n. 21 ad art. 385 CPP ; Guidon, in : Basler Kommentar, op. cit., n. 9c ad art. 396 StPO et les références citées).</w:t>
      </w:r>
    </w:p>
    <w:p>
      <w:r>
        <w:rPr>
          <w:b/>
        </w:rPr>
        <w:t>E. 4.2.2</w:t>
      </w:r>
    </w:p>
    <w:p>
      <w:r>
        <w:t>La question de savoir si une contestation générale de la décision attaquée satisfait aux exigences de motivation requises par l’art. 385 al. 1 CPP peut rester ouverte, dès lors que l’ordonnance entreprise est elle-même motivée de façon générale et que le recours doit de toute manière être rejeté pour les raisons qui suivent.</w:t>
      </w:r>
    </w:p>
    <w:p>
      <w:r>
        <w:rPr>
          <w:b/>
        </w:rPr>
        <w:t>E. 4.3</w:t>
      </w:r>
    </w:p>
    <w:p>
      <w:r>
        <w:t>En l’espèce, dans ses plaintes du 30 mars 2021, le recourant reproche essentiellement aux magistrats en cause d’avoir rendu des décisions comportant des accusations mensongères, erronées et calomnieuses. Dans ses plaintes du 6 avril 2021, il fait grief aux magistrats concernés d’avoir fondé leurs décisions sur des jugements erronés et calomnieux et reproche à une huissière d’avoir procédé à l’exécution d’un jugement. Ce faisant, fâché de ne pas avoir obtenu gain de cause, le recourant s’en prend à des magistrats et à une collaboratrice de l’Office des faillites qui sont intervenus dans le cadre de procédures judiciaires. Force est de constater qu’il ne fournit pas le moindre élément quant à la commission par ces personnes d’infractions pénales, de sorte qu’il ne ressort de ses plaintes aucun soupçon laissant supposer qu’une infraction ait pu être commise, les collaborateurs concernés ayant de surcroît agi dans le cadre de leurs fonctions et de leurs charges (art. 14 CP [Code pénal suisse du 21 décembre 1937 ; RS 311.0]). En déposant plainte à l’encontre de ces magistrats et de cette collaboratrice, le recourant utilise donc à tort la voie pénale pour contester des décisions judiciaires qui</w:t>
      </w:r>
    </w:p>
    <w:p>
      <w:r>
        <w:t>- 8 - pouvaient pourtant être contestées par des voies de droit spécifiques. Cette façon de procéder n’est pas admissible. Ainsi, c'est à juste titre que le Procureur général a considéré que les faits dénoncés par M.________ n’avaient aucun aspect pénal et qu’il a refusé d'entrer en matière sur les plaintes du recourant.</w:t>
      </w:r>
    </w:p>
    <w:p>
      <w:r>
        <w:rPr>
          <w:b/>
        </w:rPr>
        <w:t>E. 5</w:t>
      </w:r>
    </w:p>
    <w:p>
      <w:r>
        <w:t>Il résulte de ce qui précède que le recours, manifestement mal fondé, doit être rejeté dans la mesure où il est recevable (cf. consid. 4.2.2 supra) sans échange d’écritures (art. 390 al. 2 CPP), et l’ordonnance entreprise confirmée. Les frais de la procédure de recours, constitués du seul 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7 avril 2021 est confirmée. III. Les frais d’arrêt, par 880 fr. (huit cent huitante francs), sont mis à la charge de M.________. IV. L’arrêt est exécutoire. Le président : La greffière :</w:t>
      </w:r>
    </w:p>
    <w:p>
      <w:r>
        <w:t>- 9 - Du Le présent arrêt, dont la rédaction a été approuvée à huis clos, est notifié, par l'envoi d'une copie complète, à : - M. M.________,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