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PE21.007019 vom 16. Juni 2021</w:t>
      </w:r>
    </w:p>
    <w:p>
      <w:r>
        <w:t>VD Tribunal cantonal, 2021-06-16, FR</w:t>
      </w:r>
    </w:p>
    <w:p>
      <w:r>
        <w:rPr>
          <w:b/>
        </w:rPr>
        <w:t xml:space="preserve">Quelle: </w:t>
      </w:r>
      <w:r>
        <w:t>https://mcp.opencaselaw.ch/entscheid/vd_gerichte_PE21.007019</w:t>
      </w:r>
    </w:p>
    <w:p>
      <w:r>
        <w:t>FR: VD_GERICHTE PE21.007019 du 16 juin 2021</w:t>
      </w:r>
    </w:p>
    <w:p>
      <w:r>
        <w:t>IT: VD_GERICHTE PE21.007019 del 16 giugno 2021</w:t>
      </w:r>
    </w:p>
    <w:p>
      <w:pPr>
        <w:pStyle w:val="Heading2"/>
      </w:pPr>
      <w:r>
        <w:t>Volltext</w:t>
      </w:r>
    </w:p>
    <w:p>
      <w:r>
        <w:t>TRIBUNAL CANTONAL 540 PE21.007019-VWT CHAMBRE DE S RECO URS PEN ALE __________________________________________ Arrêt du 16 juin 2021 __________________ Composition : M. PERROT, président Mme Fonjallaz et M. Meylan, juges Greffière : Mme Vantaggio ***** Art. 7 al. 1 let. a de la Loi sur les profils d’ADN et 255 CPP Statuant sur le recours interjeté le 3 mai 2021 par A.________ contre l’ordonnance d’établissement d’un profil ADN rendue le 23 avril 2021 par le Ministère public de l’arrondissement de La Côte dans la cause n° PE21.007047-VWT, la Chambre des recours pénale considère : En fait : A. a) Le Ministère public de l’arrondissement de La Côte (ci- après : le Ministère public) a ouvert une instruction pénale contre A.________ pour violation de domicile. Il est reproché au prévenu d’avoir occupé illicitement un bâtiment de N.________ à Tolochenaz, entre le 15 et le 19 avril 2021, en compagnie d’E.________ et de F.________. 351</w:t>
      </w:r>
    </w:p>
    <w:p>
      <w:r>
        <w:t>- 2 - N.________ a déposé plainte le 19 avril 2021. b) Le casier judiciaire du prévenu comporte l’inscription suivante : - 29 mai 2020, Ministère public de l’arrondissement de Lausanne, peine pécuniaire de 20 jours-amende à 30 fr. le jour, avec sursis pendant 2 ans, et amende de 30 fr. pour vol d’usage d’un véhicule automobile, omission de porter les permis ou les autorisations au sens de la loi fédérale sur la circulation routière, conduite d’un cyclomoteur sans permis de circulation et sans plaque de contrôle et contravention à l’ordonnance sur les règles de la circulation routière. B. Par ordonnance du 23 avril 2021, le Ministère public a ordonné l’établissement du profil ADN d’A.________ à partir du prélèvement no 3361926710 (I) et dit que les frais suivaient le sort de la cause au fond (II). La procureure a retenu que le casier judiciaire du prévenu comportait déjà une inscription pour infractions à la loi et à l’ordonnance sur la circulation routière, que l’établissement de son profil ADN contribuerait à élucider un crime ou un délit et qu’au vu de l’infraction en cause et de la récidive, cette mesure était adéquate et respectait le principe de proportionnalité. C. Par acte du 3 mai 2021, A.________ a recouru contre cette ordonnance, en concluant à son annulation. Le 31 mai 2021, le Ministère public a déclaré renoncer à déposer des déterminations. En d roit :</w:t>
      </w:r>
    </w:p>
    <w:p>
      <w:r>
        <w:t>- 3 - 1.1 Aux termes de l’art. 393 al. 1 let. a CPP (Code de procédure pénale suisse du 5 octobre 2007 ; RS 312.0), le recours est recevable contre les décisions et les actes de procédure du Ministère public. Ainsi, la décision du Ministère public ordonnant l’établissement d’un profil ADN selon l’art. 255 CPP peut faire l’objet d’un recours au sens des art. 393 ss CPP (Moreillon/Parein-Reymond, Commentaire du Code de procédure pénale, 2e éd., Bâle 2016, n. 18 ad art. 260 CPP et n. 12 ad art. 393 CPP ; CREP 14 février 2019/119).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BLV 173.01]). 1.2 En l’espèce, interjeté en temps utile par le prévenu qui a qualité pour recourir (art. 382 CPP) et dans les formes prescrites (art. 385 al. 1 CPP), le recours est recevable. 2. 2.1 Le recourant fait valoir que ni le délit qu’il a commis, ni ses antécédents ne justifient que son profil ADN soit établi. Il invoque une atteinte à sa vie privée et une violation du principe de la proportionnalité. 2.2 2.2.1 Aux termes de l’art. 7 al. 1 let. a de la Loi fédérale sur les profils ADN (RS 363), la police, l’autorité d’instruction pénale ou le tribunal pénal (autorités qui ordonnent les mesures) peuvent ordonner le prélèvement non invasif d’échantillons sur des personnes et l’analyse de ces échantillons pour l’établissement d’un profil ADN. Selon l’art. 255 al. 1 CPP, pour élucider un crime ou un délit, le prélèvement d'un échantillon et l'établissement d'un profil ADN peuvent être ordonnés sur le prévenu (let. a), sur d'autres personnes, notamment les victimes et les personnes habilitées à se rendre sur les lieux de</w:t>
      </w:r>
    </w:p>
    <w:p>
      <w:r>
        <w:t>- 4 - l'infraction si cela est nécessaire pour distinguer leur matériel biologique de celui du prévenu (let. b), sur des personnes décédées (let. c) ou sur le matériel biologique qui a un rapport avec l'infraction (let. d). 2.2.2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du 4 novembre 1950 de sauvegarde des droits de l’homme et des libertés fondamentales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 TF 1B_285/2020 du 22 avril 2021).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w:t>
      </w:r>
    </w:p>
    <w:p>
      <w:r>
        <w:t>- 5 - 197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Il s’impose d’examiner chaque cas individuel pour ordonner l’établissement d’un profil ADN (ATF 141 IV 87 consid. 1.4.2, JdT 2015 IV 280 ; CREP 14 avril 2020/282 ; CREP 6 décembre 2018/950 consid. 2.2.2). 2.3 En l’espèce, l’ordonnance entreprise retient que l’établissement d’un profil ADN s’impose pour élucider d’autres infractions dans lesquelles le prévenu risquerait d’être impliqué dans la mesure où il lui est reproché d’avoir occupé illicitement un bâtiment entre le 15 et le 19 avril 2021 et que figure à son casier judiciaire une inscription pour des infractions à la loi et à l’ordonnance sur la circulation routière. Or, le prévenu a occupé pendant 4 jours une maison abandonnée avec deux amies. Il affirme qu’ils n’ont commis aucun dégât, qu’ils avaient l’intention de créer un projet artistique, qu’ils ont pris contact avec le propriétaire pour lui faire part de ce projet et qu’ils avaient l’intention de partir lorsque les travaux de rénovation de l’immeuble auraient débutés. En l’état, il n’est pas établi que des dommages aient été commis et le prévenu ne s’est au demeurant pas opposé à son évacuation. Il semble en revanche à ce stade douteux que le prévenu ait véritablement pris contact avec le propriétaire. S’agissant de ses antécédents, la condamnation du prévenu par ordonnance pénale du 29 mai 2020 concerne le vol d’usage d’un véhicule automobile et la conduite d’un cyclomoteur sans permis de circulation ou de plaques, soit un tout autre domaine d’infractions. Rien ne permet d’affirmer que le prévenu a commis d’autres infractions d’une certaine gravité. Par ailleurs, même à supposer que son profil ADN puisse avoir été retrouvé dans d’autres immeubles qui ont été occupés illicitement, cela indiquerait qu’il y est passé et pas encore qu’il y a</w:t>
      </w:r>
    </w:p>
    <w:p>
      <w:r>
        <w:t>- 6 - séjourné. Une éventuelle violation de domicile de cette intensité ne justifie pas l’établissement d’un profil ADN. Même s’il cherche un endroit pour créer un projet artistique, il a une adresse de domicile et on ne saurait d’emblée considérer qu’il va commettre de nouvelles infractions. L’établissement d’un profil ADN ne se justifie pas pour élucider des infractions futures. Partant, l’établissement d’un profil ADN est disproportionné au regard de l’ensemble des circonstances. 3. Il résulte de ce qui précède que le recours d’A.________ doit être admis et l’ordonnance entreprise annulée, le prélèvement ADN concerné devant être détruit. Les frais d'arrêt, par 660 fr. (art. 20 al. 1 TFIP [tarif des frais de procédure et indemnités en matière pénale du 28 septembre 2010 ; BLV 312.03.1]), seront laissés à la charge de l’Etat. Par ces motifs, la Chambre des recours pénale prononce : I. Le recours est admis. II. L’ordonnance du 23 avril 2021 est annulée. III. Il est ordonné la destruction du prélèvement ADN no 3361926710. IV. Les frais d’arrêt, par 660 fr. (six cent soixante francs), sont laissés à la charge de l’Etat. V. L’arrêt est exécutoire. Le président : La greffière :</w:t>
      </w:r>
    </w:p>
    <w:p>
      <w:r>
        <w:t>- 7 - Du Le présent arrêt, dont la rédaction a été approuvée à huis clos, est notifié, par l'envoi d'une copie complète, à : - A.________,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