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PE21.006870 vom 25. Oktober 2022</w:t>
      </w:r>
    </w:p>
    <w:p>
      <w:r>
        <w:t>VD Tribunal cantonal, 2022-10-25, FR</w:t>
      </w:r>
    </w:p>
    <w:p>
      <w:r>
        <w:rPr>
          <w:b/>
        </w:rPr>
        <w:t xml:space="preserve">Quelle: </w:t>
      </w:r>
      <w:r>
        <w:t>https://mcp.opencaselaw.ch/entscheid/vd_gerichte_PE21.006870</w:t>
      </w:r>
    </w:p>
    <w:p>
      <w:r>
        <w:t>FR: VD_GERICHTE PE21.006870 du 25 octobre 2022</w:t>
      </w:r>
    </w:p>
    <w:p>
      <w:r>
        <w:t>IT: VD_GERICHTE PE21.006870 del 25 ottobre 2022</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auprès de l’autorité compétente par le prévenu qui conteste uniquement la mise à sa charge de l’intégralité des frais de procédure et dans les formes prescrites (art. 385 al. 1 CPP), le recours de B.________ est recevable.</w:t>
      </w:r>
    </w:p>
    <w:p>
      <w:r>
        <w:t>- 6 -</w:t>
      </w:r>
    </w:p>
    <w:p>
      <w:r>
        <w:rPr>
          <w:b/>
        </w:rPr>
        <w:t>E. 1.2</w:t>
      </w:r>
    </w:p>
    <w:p>
      <w:r>
        <w:t>Lorsque le recours porte uniquement sur les conséquences économiques accessoires d'une décision et que le montant litigieux ne dépasse pas 5'000 fr., un juge de la Cour de céans statue comme juge unique (art. 395 let. b CPP et 13 al. 2 LVCPP). En l’occurrence, le recourant conteste la mise à sa charge des frais de procédure qui se montent à 1'425 fr., ce qui place le recours dans la compétence d’un membre de la Chambre des recours pénale en tant que juge unique.</w:t>
      </w:r>
    </w:p>
    <w:p>
      <w:r>
        <w:rPr>
          <w:b/>
        </w:rPr>
        <w:t>E. 2.1</w:t>
      </w:r>
    </w:p>
    <w:p>
      <w:r>
        <w:t>Le recourant s’oppose à la mise à sa charge de l’intégralité des frais de procédure. Il fait valoir que X.________ serait également responsable des frais de procédure, que la restitution du matériel litigieux ferait partie d’autres procédures qu’il a lui-même ouvertes contre cette société pour licenciement abusif, que la plainte de X.________ ne ferait pas état du courrier qu’il lui avait adressé le 25 mars 2021 et dans lequel il s’expliquait au sujet de son refus de restitution, et que les manquements et les inexactitudes figurant dans la plainte pénale avaient contribué à l’enclenchement de la procédure et aux frais découlant de celle-ci.</w:t>
      </w:r>
    </w:p>
    <w:p>
      <w:r>
        <w:rPr>
          <w:b/>
        </w:rPr>
        <w:t>E. 2.2.1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w:t>
      </w:r>
    </w:p>
    <w:p>
      <w:r>
        <w:t>- 7 - libéré en laissant entendre que ce dernier serait néanmoins coupable des infractions qui lui étaient reprochées. En outre, le juge doit fonder sa décision sur des faits incontestés ou déjà clairement établis (ATF 112 Ia 371 consid. 2a ; TF 6B_87/2012 du 27 avril 2012 consid. 1.2).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ATF 119 Ia 332 consid. 1b ; TF 6B_1231/2021 du 4 janvier 2022 consid. 2.1).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du 30 mars 2011 ; RS 220). Le fait reproché doit constituer une violation claire de la norme de comportement (ATF 144 IV 202 consid. 2.2 ; ATF 119 Ia 332 consid. 1b ; ATF 116 Ia 162 consid. 2d ; TF 6B_1231/2021 précité). La norme de comportement en cause doit avoir une portée indépendante de la norme pénale en cause (TF 6B_1399/2019 du 5 mars 2020 consid. 1.4).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6B_1231/2021 précité).</w:t>
      </w:r>
    </w:p>
    <w:p>
      <w:r>
        <w:rPr>
          <w:b/>
        </w:rPr>
        <w:t>E. 2.2.2</w:t>
      </w:r>
    </w:p>
    <w:p>
      <w:r>
        <w:t>Sauf accord ou usage contraire, l'employeur fournit au travailleur les instruments de travail et les matériaux dont celui‑ci a besoin (art. 327 al. 1 CO). Au moment où le contrat prend fin, les parties se rendent tout ce qu’elles se sont remis pour la durée du contrat, de même</w:t>
      </w:r>
    </w:p>
    <w:p>
      <w:r>
        <w:t>- 8 - que tout ce que l’une d’elles pourrait avoir reçu de tiers pour le compte de l’autre (art. 339a al. 1 CO). Les droits de rétention des parties sont réservés (art. 339a al. 3 CO). Pour le travailleur, cette obligation de restitution des instruments de travail fournis par l’employeur et qu’il détient découle de son devoir de fidélité (cf. art. 321a CO). L’art. 339a al. 3 CO réserve le droit de rétention de l’employeur et du travailleur sur les biens appartenant à l’autre partie et qui se trouvent en leur possession respective, en garantie des créances qu’ils peuvent avoir l’un contre l’autre (Donatiello, in : Thévenoz/Werro [éd.], Commentaire romand, CO I, nn. 2 et 4 ad art. 339a CO).</w:t>
      </w:r>
    </w:p>
    <w:p>
      <w:r>
        <w:rPr>
          <w:b/>
        </w:rPr>
        <w:t>E. 2.3</w:t>
      </w:r>
    </w:p>
    <w:p>
      <w:r>
        <w:t>En l’espèce, la société X.________ a, par avis des 8 décembre 2020 (P. 4/2), 3 mars 2021 (P. 4/3), 17 mars 2021 (P. 4/4) et 26 mars 2021 (P. 4/7), tenté d’obtenir, de la part de B.________, la restitution des objets lui appartenant, mais celui-ci n’a pas donné suite aux sollicitations de cette société dans les délais impartis. Le recourant, qui a notamment accusé réception des avis des 3 et 17 mars 2021 de son ancien employeur dans son courrier du 25 mars 2021 (P. 4/5), n’a pas contesté avoir pris connaissance de tous les courriers et courriels par lesquels X.________ avait requis la restitution des objets lui appartenant. Le recourant ne conteste pas non plus avoir conservé du matériel appartenant à la société X.________, ni qu’il lui appartenait de le restituer à son ancien employeur. Lors de son audition par la procureure (PV aud. 2), le recourant, qui n’a jamais contesté que le matériel – dont la restitution était requise – appartenait à X.________ (l. 107), a admis qu’il n’avait pas conservé le laptop chez lui pour obtenir quelque chose en échange dans le cadre des procédures civiles qu’il avait introduites (ll. 60-67) et, par voie de conséquence, en garantie d’éventuelles créances qu’il pourrait avoir contre son ancien employeur. Dans ces conditions, B.________ n’avait aucun motif qui justifiait qu’il ne restitue pas le matériel litigieux à son ancien employeur, de sorte que son comportement, fautif et contraire à l’art. 339a CO, était indéniablement de nature à motiver le dépôt d’une plainte pénale par X.________. C’est donc à bon droit que le Ministère</w:t>
      </w:r>
    </w:p>
    <w:p>
      <w:r>
        <w:t>- 9 - public a mis l’intégralité des frais à la charge de B.________, son comportement ayant entraîné l’intervention de l’autorité pénale.</w:t>
      </w:r>
    </w:p>
    <w:p>
      <w:r>
        <w:rPr>
          <w:b/>
        </w:rPr>
        <w:t>E. 3</w:t>
      </w:r>
    </w:p>
    <w:p>
      <w:r>
        <w:t>Il résulte de ce qui précède que le recours interjeté par B.________, manifestement mal fondé, doit être rejeté sans échange d’écritures (art. 390 al. 2 CPP) et l’ordonnance entreprise confirmée.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 Par ces motifs, le juge unique prononce : I. Le recours est rejeté. II. L’ordonnance du 7 octobre 2022 est confirmée. III. Les frais d’arrêt, par 880 fr. (huit cent huitante francs), sont mis à la charge de B.________. IV. L’arrêt est exécutoire. Le juge unique : La greffière : Du Le présent arrêt, dont la rédaction a été approuvée à huis clos, est notifié, par l'envoi d'une copie complète, à : - M. B.________, - Ministère public central,</w:t>
      </w:r>
    </w:p>
    <w:p>
      <w:r>
        <w:t>- 10 -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