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PE21.006810 vom 11. Mai 2023</w:t>
      </w:r>
    </w:p>
    <w:p>
      <w:r>
        <w:t>VD Tribunal cantonal, 2023-05-11, FR</w:t>
      </w:r>
    </w:p>
    <w:p>
      <w:r>
        <w:rPr>
          <w:b/>
        </w:rPr>
        <w:t xml:space="preserve">Quelle: </w:t>
      </w:r>
      <w:r>
        <w:t>https://mcp.opencaselaw.ch/entscheid/vd_gerichte_PE21.006810</w:t>
      </w:r>
    </w:p>
    <w:p>
      <w:r>
        <w:t>FR: VD_GERICHTE PE21.006810 du 11 mai 2023</w:t>
      </w:r>
    </w:p>
    <w:p>
      <w:r>
        <w:t>IT: VD_GERICHTE PE21.006810 del 11 maggio 2023</w:t>
      </w:r>
    </w:p>
    <w:p>
      <w:pPr>
        <w:pStyle w:val="Heading2"/>
      </w:pPr>
      <w:r>
        <w:t>Erwägungen</w:t>
      </w:r>
    </w:p>
    <w:p>
      <w:r>
        <w:rPr>
          <w:b/>
        </w:rPr>
        <w:t>E. 20</w:t>
      </w:r>
    </w:p>
    <w:p>
      <w:r>
        <w:t>février 2019). 2.3. En l’espèce, il est manifeste que les allégués figurant dans la réponse déposée par B.________ auprès de la Commission de conciliation contiennent des propos attentatoires à l’honneur de la recourante. Le fait de présenter celle-ci comme se livrant à la prostitution, ainsi qu’à des ébats sexuels à sa fenêtre, à la vue de tous, revient à l’accuser d’un comportement pénalement répréhensible, ou à tout le moins clairement réprouvé par les conceptions généralement admises. Il en va de même du contenu des pièces produites à l’appui de cette requête, qui sont des courriers électroniques que deux locataires de l’immeuble ont adressés à B.________ pour se plaindre du comportement de la recourante. Il ressort des investigations policières que B.________, Z.________ et P.________, toutes trois entendues par la police, confirment les propos en cause, et soutiennent qu’ils correspondent à la vérité ; lors de son audition, Z.________ a produit des enregistrements audios ; des photographies produites avec la réponse attestent d’une intervention policière ; des courriels émanant – apparemment - d’autres personnes habitant dans l’immeuble mentionnent des difficultés créées par le comportement de la recourante : ainsi, un courriel d’une adresse email contenant le nom de « T.________ » à B.________ fait état de « discussions/disputes » qui ont recommencé, de portes qui claquent, et d’une « situation intenable » (P5/4/111) ; un courriel d’une adresse email contenant le nom de « F.________ » à B.________ fait état d’une intervention</w:t>
      </w:r>
    </w:p>
    <w:p>
      <w:r>
        <w:t>- 17 - policière au domicile de la recourante qui serait due au fait qu’elle hébergeait une personne échappée d’un « institut psychiatrique », de nuisances sonores dues à des cris, de la musique, des ébats sexuels bruyants, et d’une consommation de cannabis incommodant le voisinage. A ce stade, il n’est pas possible de déduire des éléments qui précèdent que les trois prévenues peuvent être admises à apporter les preuves libératoires prévues par l’art. 173 ch. 2 CP, d’une part, et les ont apportées, d’autre part. Seule la version des prévenues a été recueillie, et les pièces au dossier qui vont dans leur sens ne sont pas des pièces signées, mais seulement des courriels. Quant aux enregistrements produits par l’une des prévenues, leur légalité est contestée, et on ne sait dans quelles circonstances ils ont été recueillis. Quant aux allégués figurant dans la réponse, il est vrai que certains sont libellés à la forme conditionnelle. Tel n’est toutefois pas le cas de l’allégué 65, selon lequel la recourante entretient des rapports sexuels à la vue de tous. Faute de renseignements sur la procédure qui s’est déroulée devant l’autorité de conciliation, puis devant le Tribunal des baux, il n’est pas possible de dire que l’avocat s’est limité dans ces circonstances aux déclarations pertinentes et nécessaires, ni par conséquent d’appliquer l’art. 14 CP. Enfin, la recourante invoque une incitation à la dénonciation calomnieuse de la part de Z.________, qui n’a pas été traitée dans l’ordonnance attaquée. En définitive, la situation factuelle et juridique n’est pas claire au sens de la jurisprudence rendue au sujet de l’art. 310 al. 1 CPP. Il incombera donc au Ministère public d’ouvrir une instruction, d’entendre la recourante et les prévenus, et de faire produire le jugement rendu par le Tribunal des baux, les procès-verbaux d’audition des témoins entendus par ce tribunal dans le cadre de ce litige, ainsi que la requête déposée par la recourante auprès de la commission de conciliation.</w:t>
      </w:r>
    </w:p>
    <w:p>
      <w:r>
        <w:t>- 18 - 4. Il résulte de ce qui précède que le recours doit être admis, l’ordonnance entreprise annulée et le dossier de la cause renvoyé au Ministère public de l’arrondissement de l’Est vaudois pour qu’il procède dans le sens des considérants. Les frais de la procédure de recours, par 1'870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la charge de l’Etat, à une juste indemnité pour les dépenses obligatoires occasionnées par la procédure de recours.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69, soit à 989 fr. au total en chiffres arrondis. Par ces motifs, la Chambre des recours pénale prononce : I. Le recours est admis. II. L’ordonnance du 3 janvier 2023 est annulée. III. Le dossier de la cause est renvoyé au Ministère public de l’arrondissement de l’Est vaudois pour qu’il procède dans le sens des considérants.</w:t>
      </w:r>
    </w:p>
    <w:p>
      <w:r>
        <w:t>- 19 - IV. Une indemnité de 989 fr. (neuf cent huitante-neuf francs) est allouée à D.________ pour la procédure de recours, à la charge de l’Etat. V. Les frais d’arrêt, par 1'870 fr. (mille huit cent septante francs), sont laissés à la charge de l’Etat. VI. L’arrêt est exécutoire. La présidente : La greffière : Du Le présent arrêt, dont la rédaction a été approuvée à huis clos, est notifié, par l'envoi d'une copie complète, à : - Me Hüsnü Yilmaz, avocat (pour D.________), - Ministère public central, et communiqué à : - Mme la Procureure du Ministère public de l’arrondissement de l’Est vaudois, - Mme P.________, - Mme Z.________, - Me E.________,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