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PE21.006705 vom 7. Juli 2022</w:t>
      </w:r>
    </w:p>
    <w:p>
      <w:r>
        <w:t>VD Tribunal cantonal, 2022-07-07, FR</w:t>
      </w:r>
    </w:p>
    <w:p>
      <w:r>
        <w:rPr>
          <w:b/>
        </w:rPr>
        <w:t xml:space="preserve">Quelle: </w:t>
      </w:r>
      <w:r>
        <w:t>https://mcp.opencaselaw.ch/entscheid/vd_gerichte_PE21.006705</w:t>
      </w:r>
    </w:p>
    <w:p>
      <w:r>
        <w:t>FR: VD_GERICHTE PE21.006705 du 7 juillet 2022</w:t>
      </w:r>
    </w:p>
    <w:p>
      <w:r>
        <w:t>IT: VD_GERICHTE PE21.006705 del 7 luglio 2022</w:t>
      </w:r>
    </w:p>
    <w:p>
      <w:pPr>
        <w:pStyle w:val="Heading2"/>
      </w:pPr>
      <w:r>
        <w:t>Erwägungen</w:t>
      </w:r>
    </w:p>
    <w:p>
      <w:r>
        <w:rPr>
          <w:b/>
        </w:rPr>
        <w:t>E. 1</w:t>
      </w:r>
    </w:p>
    <w:p>
      <w:r>
        <w:t>Ressortissant camerounais, L.________ est né le [...] 1995 à Bafoussam, au Cameroun. Il vit en Suisse avec sa mère, elle-même de</w:t>
      </w:r>
    </w:p>
    <w:p>
      <w:r>
        <w:t>- 8 - nationalité suisse et divorcée de son père qui vit aux Etats-Unis et avec lequel le prévenu n’a que quelques contacts par messagerie. Le prévenu a une sœur aînée qui est indépendante et vit en Suisse. Il a suivi une formation d’employé de commerce qu’il n’a pas achevée et qu’il souhaite reprendre une fois libéré. L.________ a fait l’objet d’une expertise psychiatrique (P. 50). Dans leur rapport du 31 décembre 2021, les experts ne posent pas de diagnostic médical, l’intéressé étant en pleine possession de ses moyens et entièrement responsable de ses actes. Ils estiment que le risque de récidive d’actes de violence est faible et que le risque de récidive d’actes illicites contre le patrimoine est élevé. L’extrait du casier judiciaire suisse de L.________ comporte les inscriptions suivantes : - 29.08.2013, Ministère public du canton de Genève, vol, conduite d’un véhicule automobile sans le permis de conduire requis, peine pécuniaire de 90 jours-amende à 30 fr. le jour, avec sursis à l’exécution de la peine, délai d’épreuve 3 ans (sursis révoqué le 25.01.2015) ; - 25.01.2015, Ministère public du canton de Genève, vol (tentative), dommages à la propriété, violation de domicile, 360 heures de travail d’intérêt général ; - 25.09.2015, Tribunal correctionnel de Genève, vol (tentative), vol par métier, infractions d’importance mineure (vol), utilisation frauduleuse d’un ordinateur (commis à réitérées reprises), violation de domicile, dénonciation calomnieuse, violation des règles de la circulation routière, conduite d’un véhicule automobile sans le permis de conduire requis (commis à réitérées reprises), usage abusif de permis et de plaques, peine privative de liberté de 20 mois et amende de 300 fr. (libération conditionnelle accordée le 26.03.2016 [délai d’épreuve 1 an] et révoquée le 12.09.2017) ; - 12.09.2017, Tribunal de police de Genève, recel (commis à réitérées reprises), faux dans les certificats, 480 heures de travail d’intérêt général ;</w:t>
      </w:r>
    </w:p>
    <w:p>
      <w:r>
        <w:t>- 9 - - 01.04.2019, Chambre pénale d’appel et de révision de Genève, usurpation de plaques de contrôle, usage abusif de permis et/ou de plaques de contrôle, infractions d’importance mineure (vol), violation de domicile, dommages à la propriété, vol, séjour illégal par négligence, violation des règles de la circulation routière, faux dans les certificats, conduite d’un véhicule automobile sans le permis de conduire requis, circuler sans permis de circulation ou plaques de contrôle , peine privative de liberté de 3 ans et amende de 1'000 fr., cas de rigueur au sens de l’art. 66a al. 2 CP. Pour les besoins de la cause, L.________ est placé en détention depuis le 17 avril 2021. Avant son placement dans un établissement adapté à la détention avant jugement, il avait été détenu durant 21 jours à l’Hôtel de police de Lausanne, soit dans des conditions illicites de détention hormis durant les 48 premières heures. Selon le rapport établi le 11 novembre 2022 par la Direction de la prison du Bois-Mermet, L.________ a respecté les règles de cet établissement et adopté un comportement respectueux envers ses codétenus et le personnel pénitentiaire.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w:t>
      </w:r>
    </w:p>
    <w:p>
      <w:r>
        <w:t>- 14 -</w:t>
      </w:r>
    </w:p>
    <w:p>
      <w:r>
        <w:rPr>
          <w:b/>
        </w:rPr>
        <w:t>E. 3.1</w:t>
      </w:r>
    </w:p>
    <w:p>
      <w:r>
        <w:t>L'appelant conteste la quotité de la peine qu'il estime excessive. Il soutient d'abord que le moyen de contrainte utilisé dans le brigandage serait de faible intensité car il s'agissait d'un « bousculement involontaire » de la victime, qui serait tombée « indépendamment de la volonté » de l'appelant. L'intention de ce dernier n’aurait pas porté sur un quelconque acte de violence ou de mise hors d'état de résister ou sur une atteinte à l'intégrité corporelle de la victime. L’appelant reproche ensuite aux premiers juges de ne pas avoir pris en considération sa situation personnelle et les effets de la peine sur son avenir. Il plaide son jeune âge, son souhait de terminer sa formation d'employé de commerce « au plus vite » et de trouver un emploi. La peine devrait en outre être atténuée pour tenir compte de sa libération du chef de prévention d'infraction à la loi fédérale sur les étrangers et l'intégration (LEI, intitulée jusqu’au 31 décembre 2018 Loi fédérale sur les étrangers [LEtr] ; RS 142.20).</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- 15 - pénale (ATF 142 IV 137 consid. 9.1, JdT 2016 I 169 ; ATF 141 IV 61 consid. 6.1.1 et les références citées ; TF 6B_1403/2021 du 9 juin 2022 consid. 5.1).</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3.3</w:t>
      </w:r>
    </w:p>
    <w:p>
      <w:r>
        <w:t>Aux débats d’appel, le prévenu a finalement admis avoir frappé O.________ avant de prendre ses clés, de sorte que l’argument qu’il a soulevé à l’appui de son appel consistant à dire qu’il aurait involontairement bousculé le plaignant – au demeurant grotesque – n’a plus lieu d’être examiné. Le Tribunal correctionnel a considéré que la culpabilité du prévenu était très lourde, soulignant le caractère odieux du brigandage et le risque que le prévenu avait pris de blesser gravement le plaignant. Il a retenu le traumatisme qu’il lui avait causé et le fait qu’il avait préparé son acte et choisi une victime particulièrement vulnérable. Les autres</w:t>
      </w:r>
    </w:p>
    <w:p>
      <w:r>
        <w:t>- 16 - infractions qui lui étaient reprochées étaient également graves, en particulier sa fuite lorsqu’il avait été contrôlé à Genève et le risque qu’il avait fait courir aux agents de police. Le prévenu n’avait en outre cure des règles en matière de circulation routière au vu de ses antécédents en la matière. Sa collaboration à l’enquête avait été inexistante et ses mensonges avaient conduit à la poursuite d’une personne innocente. Le jugement rendu le 1er avril 2019 par la Chambre pénale d’appel et de révision du canton de Genève retenait par ailleurs que le prévenu avait demandé une « ultime chance » et indiqué vouloir « se ressaisir ». Il avait néanmoins récidivé presque immédiatement après sa sortie de prison dès le début de l’année 2021. A ces éléments s’ajoutaient ses autres antécédents, notamment sa condamnation en 2015 à une peine privative de liberté de 20 mois avec octroi d’une libération conditionnelle qui avait été révoquée. L.________ apparaissait ainsi être un délinquant chevronné. Son attitude aux débats démontrait qu’il était totalement incorrigible et sa longue détention provisoire ne l’avait guère fait évoluer. Ses quelques aveux, laborieusement consentis, n’avaient démontré aucune prise de conscience et n’avaient été émis que pour tenter de se présenter sous un jour meilleur. Ces éléments d'appréciation sont pertinents et ceux invoqués par l'appelant ne sauraient être retenus à sa décharge. En effet, à 27 ans, il ne peut plus être considéré comme un jeune adulte. Il ne ressort pas du dossier qu’il ait un jour travaillé et il vit toujours chez sa mère parce qu'il n'a jamais terminé la formation qu'il est soudainement pressé de reprendre. A cet égard, on peut relever que des études peuvent être entreprises à tout âge, pour autant que l’on soit réellement motivé. L’appelant soutient également qu’il faudrait tenir compte du fait qu’il a été libéré du chef de prévention d'infraction à la loi fédérale sur les étrangers et l'intégration. Cet argument se réfère au fait que la peine prononcée correspond aux réquisitions du Parquet, alors que celui-ci n’avait pas proposé d'abandonner l'accusation d'infraction à la LEI. Le Tribunal correctionnel n’était cependant pas lié par ces réquisitions, de sorte que ce grief doit être rejeté.</w:t>
      </w:r>
    </w:p>
    <w:p>
      <w:r>
        <w:t>- 17 - En définitive, l’appelant est reconnu coupable de vol, brigandage, dommages à la propriété, violence ou menace contre les autorités et les fonctionnaires, empêchement d’accomplir un acte officiel, dénonciation calomnieuse, violation grave des règles de la circulation routière, conduite d’un véhicule automobile sans autorisation et usage abusif de permis et/ou de plaques de contrôle. L’infraction la plus grave est le brigandage, qui justifie à elle seule le prononcé d’une peine privative de liberté de vingt mois. Les effets du concours conduisent à l’aggravation de cette peine de base de deux mois pour sanctionner le cas 2, de deux mois pour le cas 4, de six mois pour le cas 5, de dix mois pour le cas 6 et de deux mois pour le cas 8, de sorte que la peine privative de liberté de 42 mois prononcée par les premiers juges, adéquate tant dans sa forme que dans sa quotité, doit être confirmée. Il en va de même de la peine pécuniaire de 30 jours-amende à 30 fr. pour sanctionner l’infraction d’empêchement d’accomplir un acte officiel (cas 7).</w:t>
      </w:r>
    </w:p>
    <w:p>
      <w:r>
        <w:rPr>
          <w:b/>
        </w:rPr>
        <w:t>E. 4.1</w:t>
      </w:r>
    </w:p>
    <w:p>
      <w:r>
        <w:t>L'appelant conteste son expulsion, en principe obligatoire, estimant qu'il s'agirait d'un cas de rigueur. Il fait valoir qu'il est arrivé en Suisse à l'âge de 6 ans, qu'il y a fait toute sa scolarité, qu'il y a entamé une formation et que sa famille proche (composée de sa mère et de sa sœur) habite ici, son père, avec lequel il n'aurait plus de contacts, étant aux Etats-Unis. Il n'aurait en outre plus de lien avec le Cameroun et si on y parle le français, la culture et les usages de ce pays seraient néanmoins différents. Il faudrait ainsi admettre que l’intérêt privé de l’appelant à demeurer en Suisse l'emporterait sur l'intérêt à l’expulser. A titre subsidiaire, l’appelant soutient qu’une expulsion pour une durée de 10 ans serait trop longue.</w:t>
      </w:r>
    </w:p>
    <w:p>
      <w:r>
        <w:rPr>
          <w:b/>
        </w:rPr>
        <w:t>E. 4.2.1</w:t>
      </w:r>
    </w:p>
    <w:p>
      <w:r>
        <w:t>Aux termes de l'art. 66a al. 1 let. c CP, le juge expulse de Suisse l'étranger qui est condamné pour brigandage pour une durée de cinq à quinze ans, quelle que soit la quotité de la peine prononcée à son encontre.</w:t>
      </w:r>
    </w:p>
    <w:p>
      <w:r>
        <w:t>- 18 -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w:t>
      </w:r>
    </w:p>
    <w:p>
      <w:r>
        <w:t>- 19 - international, en particulier l'art. 8 CEDH (TF 6B_1174/2021 précité ; TF 6B_215/2021 du 17 janvier 2022 consid. 5.1 ; TF 6B_990/2020 précité).</w:t>
      </w:r>
    </w:p>
    <w:p>
      <w:r>
        <w:rPr>
          <w:b/>
        </w:rPr>
        <w:t>E. 4.2.2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ce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6B_1174/2021 précité ; TF 6B_432/2021 du 21 février 2022 consid. 5.1.2). Un séjour légal de dix années suppose en</w:t>
      </w:r>
    </w:p>
    <w:p>
      <w:r>
        <w:t>- 20 - principe une bonne intégration de l'étranger (ATF 144 I 266 consid. 3.9 ; TF 6B_1174/2021 précité). Un étranger peut se prévaloir de l'art. 8 § 1 CEDH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6B_1174/2021 précité). Les relations familiales visées par l'art. 8 § 1 CEDH sont avant tout celles qui concernent la famille dite nucléaire, soit celles qui existent entre époux ainsi qu'entre parents et enfants mineurs vivant en ménage commun (ATF 144 II 1 précité ; ATF 135 I 143 consid. 1.3.2 ; TF 6B_177/2021 du 8 novembre 2021 consid. 3.1.3).</w:t>
      </w:r>
    </w:p>
    <w:p>
      <w:r>
        <w:rPr>
          <w:b/>
        </w:rPr>
        <w:t>E. 4.3</w:t>
      </w:r>
    </w:p>
    <w:p>
      <w:r>
        <w:t>En l’espèce, l’infraction de brigandage commise par l’appelant remplit les conditions d’une expulsion obligatoire, sous réserve d’une application de l’art. 66a al. 2 CP. Le Tribunal correctionnel a considéré que l’intérêt public à l’expulsion du prévenu était prépondérant. Il a retenu qu'en 2019, les juges genevois avaient admis l’existence d’un cas de rigueur du fait que le prévenu était arrivé en Suisse jeune et qu’il y avait sa mère, avec laquelle il habitait, ainsi que sa sœur aînée. L’attention du prévenu avait donc déjà été attirée sur le risque d’une expulsion. Il n'en avait toutefois tiré aucune leçon, comme de ses antécédents pénaux, et avait de surcroît récidivé très rapidement et sur un mode violent en agressant une personne âgée. Il passait son temps à commettre des infractions, son intégration dans le monde du travail était inexistante, il n’avait aucune formation et vivait aux crochets de sa mère. Enfin, une expulsion vers le Cameroun ne le mettait pas en danger. Cette appréciation doit également être suivie, la pesée des intérêts effectuée en 2019 devant être réexaminée. Force est de constater à l’instar du Tribunal correctionnel que la condamnation prononcée par les juges genevois en 2019, de même que les condamnations qui l’ont</w:t>
      </w:r>
    </w:p>
    <w:p>
      <w:r>
        <w:t>- 21 - précédée, n’ont exercé aucune influence sur le prévenu qui a presque immédiatement récidivé après avoir été libéré. En outre, à 27 ans, celui-ci est adulte et n'est plus censé dépendre de l’aide de sa mère, étant précisé qu'une expertise psychiatrique a confirmé sa pleine responsabilité. Il ne travaille pas et n’a pas de formation. Il n'a ni épouse ni enfant. Il ne peut donc pas plaider le droit à la vie familiale au sens de l’art. 8 CEDH. En définitive, son intérêt à demeurer en Suisse se limite à conserver ses (mauvaises) habitudes. En revanche, l'intérêt public à son expulsion est important, vu le risque de récidive attesté par les experts pour des infractions contre le patrimoine – dont le brigandage fait partie – et par ses nombreux antécédents. Enfin, quels qu'en soient la culture et les usages, il est possible de travailler au Cameroun et même d’y suivre des formations. Par conséquent, l’expulsion de l’appelant doit être confirmée. Quant à la durée de cette mesure, elle ne prête pas le flanc à la critique au vu du nombre d'infractions commises par le prévenu et de ses antécédents.</w:t>
      </w:r>
    </w:p>
    <w:p>
      <w:r>
        <w:rPr>
          <w:b/>
        </w:rPr>
        <w:t>E. 5</w:t>
      </w:r>
    </w:p>
    <w:p>
      <w:r>
        <w:t>Conformément à l’art. 51 CP, la détention subie depuis le jugement de première instance sera déduite de la peine privative de liberté prononcée. Pour garantir l’exécution de la peine et de l’expulsion et au vu du risque de réitération qu’il présente, le maintien de l’appelant en détention pour des motifs de sûreté doit être ordonné.</w:t>
      </w:r>
    </w:p>
    <w:p>
      <w:r>
        <w:rPr>
          <w:b/>
        </w:rPr>
        <w:t>E. 6</w:t>
      </w:r>
    </w:p>
    <w:p>
      <w:r>
        <w:t>En définitive, l’appel doit être rejeté et le jugement entrepris intégralement confirmé. Il n’y a pas lieu de s’écarter de la liste des opérations produite par Me Marine Botfield, défenseur d’office de L.________, sous réserve de la durée de l’audience d’appel, qui n’a duré que trois quarts d’heure (et non deux heures comme estimé), et du temps compté pour les opérations après audience (entretien, courrier et réserve pour opérations futures) qui sera arrêté à une heure. L’indemnité de défenseur d’office de Me Marine</w:t>
      </w:r>
    </w:p>
    <w:p>
      <w:r>
        <w:t>- 22 - Botfield pour la procédure d’appel sera par conséquent fixée à 3'076 fr. 25, correspondant à 2’565 fr. d’honoraires (14 heures et 15 minutes au tarif horaire de 180 fr.), à des débours forfaitaires à hauteur de 51 fr. 30, à deux vacations à 120 fr., par 240 fr., et à la TVA au taux de 7,7 %, par 219 fr. 95. Vu l'issue de la cause, les frais de la procédure d'appel, par 5'126 fr. 25, constitués de l'émolument du présent jugement, par 2’050 fr. (art. 21 al. 1 et 2 TFIP), ainsi que de l’indemnité allouée à son défenseur d’office, par 3'076 fr. 25, seront mis à la charge de l’appelant, qui succombe (art. 428 al. 1 CPP). L.________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