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PE21.006397 vom 10. August 2021</w:t>
      </w:r>
    </w:p>
    <w:p>
      <w:r>
        <w:t>VD Tribunal cantonal, 2021-08-10, FR</w:t>
      </w:r>
    </w:p>
    <w:p>
      <w:r>
        <w:rPr>
          <w:b/>
        </w:rPr>
        <w:t xml:space="preserve">Quelle: </w:t>
      </w:r>
      <w:r>
        <w:t>https://mcp.opencaselaw.ch/entscheid/vd_gerichte_PE21.006397</w:t>
      </w:r>
    </w:p>
    <w:p>
      <w:r>
        <w:t>FR: VD_GERICHTE PE21.006397 du 10 août 2021</w:t>
      </w:r>
    </w:p>
    <w:p>
      <w:r>
        <w:t>IT: VD_GERICHTE PE21.006397 del 10 agosto 2021</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d’I.________ est recevable. Les pièces nouvelles le sont également (art. 390 al. 4 in fine CPP ; Moreillon/Parein-Reymond, Petit Commentaire, Code de procédure pénale, 2e éd., Bâle 2016, n. 8 ad art. 385 CPP ; CREP 9 juillet 2012/427 consid. 1b et les réf. citées).</w:t>
      </w:r>
    </w:p>
    <w:p>
      <w:r>
        <w:rPr>
          <w:b/>
        </w:rPr>
        <w:t>E. 2</w:t>
      </w:r>
    </w:p>
    <w:p>
      <w:r>
        <w:t>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2e éd., Bâle</w:t>
      </w:r>
    </w:p>
    <w:p>
      <w:r>
        <w:t>- 5 - 2019,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 TF 1B_709/2012 du 21 février 2013 consid. 3.1). Cette disposition doit être appliquée conformément à l'adage in dubio pro duriore,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conteste la non-entrée en matière intervenue s’agissant de l’infraction d’utilisation abusive d’une installation de télécommunication. Elle invoque également une violation du principe in</w:t>
      </w:r>
    </w:p>
    <w:p>
      <w:r>
        <w:t>- 6 - dubio pro duriore. Elle soutient avoir été importunée par le comportement de G.________, qui l’aurait harcelée de plus de 400 appels téléphoniques en l’espace de 4 mois, pendant et après leur relation amoureuse, ce qui l’aurait finalement contrainte à bloquer le numéro de téléphone du prénommé. En outre, G.________ aurait admis les faits et il ne serait pas démontré qu’il n’aurait pas agi dans le but de l’importuner ou de l’inquiéter. En tous les cas, la recourante soutient que son ancien compagnon aurait à tout le moins dû avoir conscience que son comportement conduirait à de telles conséquences, ce d’autant plus qu’il avait déjà été condamné pour des faits similaires. La recourante relève enfin que le comportement de G.________ pourrait également être constitutif de stalking, soit de contrainte au sens du droit pénal.</w:t>
      </w:r>
    </w:p>
    <w:p>
      <w:r>
        <w:rPr>
          <w:b/>
        </w:rPr>
        <w:t>E. 3.2.1</w:t>
      </w:r>
    </w:p>
    <w:p>
      <w:r>
        <w:t>L'art. 179septies CP (Code pénal suisse du 21 décembre 1937 ; RS 311.0) punit celui qui, par méchanceté ou par espièglerie, aura utilisé abusivement une installation de télécommunication pour inquiéter un tiers ou pour l'importuner. Cette disposition protège le droit personnel de la victime à ne pas être importunée par certains actes commis au moyen d'une installation de télécommunication (ATF 121 IV 131 consid. 5b). Selon la jurisprudence (cf. ATF 126 IV 216 consid. 2b/aa ; TF 6B_1088/2015 du 6 juin 2016 consid. 2.1), le juge se doit de limiter l’interdiction contenue dans la disposition pénale à des comportements manifestement répréhensibles.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w:t>
      </w:r>
    </w:p>
    <w:p>
      <w:r>
        <w:t>- 7 - dommage ou les désagréments qu'il cause à autrui lui procurent de la satisfaction. Quant à l'espièglerie, elle signifie agir un peu follement, par bravade ou sans scrupule, dans le but de satisfaire un caprice momentané (ATF 121 IV 131 consid. 5b).</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stalking, c'est-à-dire par persécution obsessionnelle d'une personne (ATF 129 IV 262 consid. 2.3 à 2.5, JdT 2005 IV 207 ; Dupuis et al. [éd.], Petit Commentaire, Code pénal, 2e éd., Bâle 2017,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w:t>
      </w:r>
    </w:p>
    <w:p>
      <w:r>
        <w:t>- 8 - du cumul de comportements divers ou de la répétition de comportements identiques sur une durée prolongée (cf. ATF 141 IV 437 consid. 3.2.2 ; TF 6B_1428/2016 du 3 octobre 2017 consid. 3.1).</w:t>
      </w:r>
    </w:p>
    <w:p>
      <w:r>
        <w:rPr>
          <w:b/>
        </w:rPr>
        <w:t>E. 3.3</w:t>
      </w:r>
    </w:p>
    <w:p>
      <w:r>
        <w:t>En l’espèce, dans le cadre de la procédure de recours, I.________ a démontré par pièces qu’elle avait reçu, entre le 3 novembre 2020 et le 5 février 2021, soit durant une période de trois mois, 399 appels de G.________ sur son téléphone portable, parfois à des heures indues, soit en pleine nuit (P. 10/2/4). Entre le 5 décembre 2020 et le 19 janvier 2021, elle a en outre reçu 35 appels sur son application Messenger, auxquels elle n’a jamais répondu. Ces appels sont entrecoupés de messages l’exhortant à répondre, ainsi que d’un message vocal d’une durée de 8 secondes le 23 décembre 2020. A nouveau, on constate que les appels ont fréquemment été passés durant la nuit (P. 10/2/5). Au vu de ce qui précède, le Ministère public ne pouvait pas considérer, sans ouvrir d’enquête, que G.________ n’avait pas pour intention d’importuner la plaignante, le nombre d’appels passés et les heures auxquelles ils sont souvent intervenus, de même que la teneur des messages adressés, permettant d’envisager sérieusement une atteinte à la sphère personnelle de la recourante. Les agissements de G.________ pourraient même dépasser le seuil de l’art. 179septies CP et se révéler constitutifs de stalking, donc de contrainte au sens de l’art. 181 CP. Le moyen de la recourante doit dès lors être admis et il appartiendra au Ministère public d’ouvrir une enquête et d’instruire plus avant cette question.</w:t>
      </w:r>
    </w:p>
    <w:p>
      <w:r>
        <w:rPr>
          <w:b/>
        </w:rPr>
        <w:t>E. 4.1</w:t>
      </w:r>
    </w:p>
    <w:p>
      <w:r>
        <w:t>La recourante conteste également la non-entrée en matière s’agissant de l’infraction de séquestration, dont on ne pourrait considérer que les éléments constitutifs ne seraient manifestement pas réunis. Elle soutient que le fait qu’elle ait pu passer un appel à son frère et recevoir des messages n’empêcherait aucunement la réalisation de l’infraction, dès lors qu’elle aurait bien été privée de la possibilité de quitter la chambre de</w:t>
      </w:r>
    </w:p>
    <w:p>
      <w:r>
        <w:t>- 9 - G.________. Elle fait en outre valoir que le Ministère public aurait dû entreprendre une investigation complémentaire, en interrogeant les personnes présentes au moment des faits, telles que son frère et son amie, qui l’avaient accompagnée, ainsi que la mère et le frère de son ex- compagnon.</w:t>
      </w:r>
    </w:p>
    <w:p>
      <w:r>
        <w:rPr>
          <w:b/>
        </w:rPr>
        <w:t>E. 4.2</w:t>
      </w:r>
    </w:p>
    <w:p>
      <w:r>
        <w:t>Se rend coupable de séquestration et enlèvement, au sens de l’art. 183 ch. 1 CP, celui qui, sans droit, aura arrêté une personne, l’aura retenue prisonnière, ou l’aura, de toute autre manière, privée de sa liberté, ou celui qui, en usant de violence, de ruse ou de menace, aura enlevé une personne. Le bien juridique protégé est la liberté de déplacement. Les éléments objectifs constitutifs sont réalisés si la personne est privée de sa liberté d'aller et venir et de choisir le lieu où elle souhaite rester (TF 6B_27/2020 du 20 avril 2020 consid. 1.3.1 ; TF 6B_1070/2017 du 20 avril 2018 consid. 4.2 et les réf.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(TF 6B_27/2020 du 20 avril 2020 consid. 1.3.1 ; TF 6B_1070/2017 du 20 avril 2018 consid. 4.2 ; Trechsel/Mona, in : Trechsel/Pieth [éd.], Schweizerisches Strafgesetzbuch, Praxiskommentar, 3e éd., Zurich 2017, n. 7 ad art. 183 CP). La manière dont l’auteur traite la victime importe peu. Le moyen qu’il utilise pour atteindre le résultat n’est pas non plus déterminant. Une personne peut ainsi être séquestrée par le recours à la menace, à la violence, en</w:t>
      </w:r>
    </w:p>
    <w:p>
      <w:r>
        <w:t>- 10 - soustrayant les moyens dont elle a besoin pour partir ou encore en la plaçant dans des conditions telles qu'elle se sent dans l'impossibilité de s'en aller (ATF 128 IV 73 consid. 2a, JdT 2004 IV 120 ; TF 6B_1070/2017 du 20 avril 2018 consid. 4.2 ; Dupuis et al., op. cit., n. 8 ad art. 183 CP). Il n’est donc pas nécessaire qu’une personne se fasse enfermer pour que l’art. 183 CP s’applique (Dupuis et al., op. cit., n. 7 ad art. 183 CP et la réf. citée).</w:t>
      </w:r>
    </w:p>
    <w:p>
      <w:r>
        <w:rPr>
          <w:b/>
        </w:rPr>
        <w:t>E. 4.3</w:t>
      </w:r>
    </w:p>
    <w:p>
      <w:r>
        <w:t>En l’occurrence, il est vrai que la recourante a reconnu qu’elle avait tenté de retenir G.________ alors que ce dernier se précipitait à l’extérieur pour « s’engueuler » avec son frère. Cela n’est toutefois pas incompatible avec le fait qu’elle ait au préalable elle-même pu être retenue dans la pièce contre son gré. De même, le fait qu’elle ait appelé son frère, qui s’était montré inquiet de ne pas la voir revenir par précédent message, ne saurait d’emblée exclure tout acte de contrainte ou de séquestration. Le même raisonnement s’impose s’agissant du fait que G.________ ait remis sa carte bancaire à la recourante. Par ailleurs, il est à relever que G.________ a admis qu’il s’était à un moment saisi d’un couteau (PV aud. 2, R. 14). Aucune investigation n’a toutefois été menée à ce sujet, pas plus que sur les circonstances générales de l’incident, alors que des mesures d’instruction, notamment l’audition des tiers ayant assisté aux événements, étaient possibles à mettre en œuvre et nécessaires. En refusant d’entrer en matière, le Ministère public a dès lors violé le principe in dubio pro duriore. Le moyen de la recourante doit par conséquent être admis et il conviendra que le Ministère public ouvre une enquête et instruise les faits, afin de déterminer si ceux-ci peuvent être constitutifs de séquestration ou de toute autre infraction, telle que la contrainte.</w:t>
      </w:r>
    </w:p>
    <w:p>
      <w:r>
        <w:rPr>
          <w:b/>
        </w:rPr>
        <w:t>E. 5</w:t>
      </w:r>
    </w:p>
    <w:p>
      <w:r>
        <w:t>En définitive, le recours doit être admis et l'ordonnance entreprise annulée. On précise que la recourante n’a pas contesté la non- entrée en matière prononcée s’agissant de l’éjaculation non consentie lors d’un rapport sexuel, pour laquelle le Ministère public avait envisagé l’infraction de contrainte. Toutefois, comme on l’a vu ci-dessus, la</w:t>
      </w:r>
    </w:p>
    <w:p>
      <w:r>
        <w:t>- 11 - contrainte au sens de l’art. 181 CP pourrait entrer en considération tant pour les appels intempestifs adressés par G.________ à la plaignante que pour le fait d’avoir retenu cette dernière dans sa chambre. Il se justifie ainsi d’annuler l’ordonnance querellée dans son entier. Le dossier sera retourné au Ministère public pour qu'il procède dans le sens des considérants. Les frais de la procédure de recours, constitués du seul émolument d'arrêt (art. 422 al. 1 CPP), par 1'210 fr. (art. 20 al. 1 TFIP [Tarif des frais de procédure et indemnités en matière pénale du 28 septembre 2010 ; BLV 312.03.1]), seront laissés à la charge de l'Etat (art. 428 al. 1 et 4 CPP). La recourante, qui obtient gain de cause et qui a procédé avec l’assistance d’un mandataire professionnel, a droit à une indemnité pour les dépenses occasionnées par l’exercice raisonnable de ses droits pour la procédure de recours. Elle réclame à ce titre une indemnité de 3'000 fr., sans toutefois détailler les opérations qui justifieraient ce montant. Au vu du mémoire produit, cette somme est manifestement trop élevée. L'indemnité sera fixée à 900 fr., correspondant à 3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18 fr., plus un montant correspondant à la TVA, par 70 fr. 70, soit à 989 fr. au total en chiffres arrondis. Cette indemnité sera laissée à la charge de l’Etat, en l’absence de partie succombante (ATF 138 IV 248 consid. 5.3, JdT 2013 IV 151), étant précisé qu’à ce stade, G.________ ne participe pas à la procédure et que c’est à tort que le Ministère public lui a adressé son ordonnance de non-entrée en matière pour notification. Compte tenu de cette notification préalable, une copie du présent arrêt sera tout de même communiquée à ce dernier (CREP 4 mai 2021/420 consid. 4).</w:t>
      </w:r>
    </w:p>
    <w:p>
      <w:r>
        <w:t>- 12 - Vu l’issue de la cause et ce qui précède, la requête d’assistance judiciaire gratuite pour la procédure de recours est sans objet. Par ces motifs, la Chambre des recours pénale prononce : I. Le recours est admis. II. L’ordonnance du 10 juin 2021 est annulée. III. Le dossier de la cause est renvoyé au Ministère public de l’arrondissement du Nord vaudois pour qu’il procède dans le sens des considérants. IV. Les frais d’arrêt, par 1'210 fr. (mille deux cent dix francs), sont laissés à la charge de l’Etat. V. Une indemnité de 989 fr. (neuf cent huitante-neuf francs) est allouée à I.________ pour la procédure de recours, à la charge de l’Etat. VI. La requête d’assistance judiciaire gratuite pour la procédure de recours est sans objet. VII. L’arrêt est exécutoire. Le président : La greffière : Du Le présent arrêt, dont la rédaction a été approuvée à huis clos, est notifié, par l'envoi d'une copie complète, à : - Me Alexandra Farine Fabbro, avocate (pour I.________),</w:t>
      </w:r>
    </w:p>
    <w:p>
      <w:r>
        <w:t>- 13 - - Ministère public central, et communiqué à : - Mme la Procureure de l'arrondissement du Nord vaudois, - M. G.________,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