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PE21.006167 vom 12. Dezember 2022</w:t>
      </w:r>
    </w:p>
    <w:p>
      <w:r>
        <w:t>VD Tribunal cantonal, 2022-12-12, FR</w:t>
      </w:r>
    </w:p>
    <w:p>
      <w:r>
        <w:rPr>
          <w:b/>
        </w:rPr>
        <w:t xml:space="preserve">Quelle: </w:t>
      </w:r>
      <w:r>
        <w:t>https://mcp.opencaselaw.ch/entscheid/vd_gerichte_PE21.006167</w:t>
      </w:r>
    </w:p>
    <w:p>
      <w:r>
        <w:t>FR: VD_GERICHTE PE21.006167 du 12 décembre 2022</w:t>
      </w:r>
    </w:p>
    <w:p>
      <w:r>
        <w:t>IT: VD_GERICHTE PE21.006167 del 12 dicembre 2022</w:t>
      </w:r>
    </w:p>
    <w:p>
      <w:pPr>
        <w:pStyle w:val="Heading2"/>
      </w:pPr>
      <w:r>
        <w:t>Erwägungen</w:t>
      </w:r>
    </w:p>
    <w:p>
      <w:r>
        <w:rPr>
          <w:b/>
        </w:rPr>
        <w:t>E. 7.1</w:t>
      </w:r>
    </w:p>
    <w:p>
      <w:r>
        <w:t>L'appelante invoque la nullité de la décision civile – dans la mesure où elle s'adresse à des intimés non identifiés – et fait valoir que la nullité de cette décision entraînerait l'absence de validité de l'action de la police et empêcherait par conséquent l'application de l'art. 286 CP. Elle se réfère à l'arrêt TF 5D_78/2022 précité (cf. consid. 4.2.2).</w:t>
      </w:r>
    </w:p>
    <w:p>
      <w:r>
        <w:rPr>
          <w:b/>
        </w:rPr>
        <w:t>E. 7.2</w:t>
      </w:r>
    </w:p>
    <w:p>
      <w:r>
        <w:t>En vertu de l’art. 286 CP, celui qui aura empêché une autorité, un membre d’une autorité ou un fonctionnaire d’accomplir un acte entrant dans ses fonctions sera puni d’une peine pécuniaire de 30 jours-amende au plus. Selon la jurisprudence, pour qu’il y ait opposition aux actes de l’autorité, il faut que l’auteur, par son comportement, entrave l’autorité ou le fonctionnaire dans l’accomplissement d’un acte officiel ; il ne suffit pas qu’il se borne à ne pas obtempérer à un ordre qui lui est donné, par</w:t>
      </w:r>
    </w:p>
    <w:p>
      <w:r>
        <w:t>- 23 - exemple de souffler dans l’éthylomètre, de parler moins fort ou de ne pas conduire (ATF 127 IV 115 consid. 2, JdT 2006 IV 252 ; ATF 120 IV 136 consid. 2a et les références citées, JdT 1995 I 720). Il n’est en revanche pas nécessaire que l’auteur parvienne à éviter effectivement l’accomplissement de l’acte officiel, il suffit qu’il le rende plus difficile, l’entrave ou le diffère (ATF 127 IV 115 précité ; ATF 124 IV 127 consid. 3a ; TF 6B_89/2019 du 17 mai 2019 consid. 1.1.1 ; TF 6B_410/2018 du 20 juin 2018 consid. 5.4). L’infraction se distingue tant de celle prévue à l’art. 285 CP, en ce que l’auteur ne recourt ni à la violence ni à la menace, que de celle visée à l’art. 292 CP, car une simple désobéissance ne suffit pas. Le comportement incriminé à l’art. 286 CP suppose une résistance qui implique une certaine activité (ATF 133 IV 97 consid. 4.2 ; ATF 127 IV 115 précité et les références citées) qui est réalisée, par exemple, par le fait de prendre la fuite (ATF 120 IV 136 précité consid. 2a et les références citées). Il peut s’agir d’une obstruction physique : l’auteur, par sa personne ou un objet qu’il dispose à cette fin, empêche ou gêne le passage du fonctionnaire pour lui rendre plus difficile l’accès à une chose. On peut aussi penser à celui qui, en restant fermement à sa place, ne se laisse pas ou difficilement emmener (Corboz, Les infractions en droit suisse, vol. II, 3e éd., Berne 2010, n. 13 ad art. 286 CP ; TF 6B_89/2019 précité). Selon la jurisprudence, imposer sa présence dans une salle pour empêcher une autorité d’y tenir séance constitue, par une action, une opposition aux actes de l’autorité (TF 6B_354/2021 du 1er novembre 2021 ; TF 6B_89/2019 précité ; ATF 107 IV 113 consid. 4). Il en est de même du fait de prendre position sur une route pour entraver une intervention policière en cours (CAPE 25 janvier 2023/43 consid. 3.3), de monter sur le toit d’une maison en attendant qu’on vienne l’y chercher (CAPE 29 juin 2022/210, consid. 8.3) ou de monter sur un arbre afin de se mettre, du moins provisoirement, hors d’atteinte de tout agent qui aurait été chargé de l’arrêter (CAPE 15 juin 2023/199 consid. 3.3)</w:t>
      </w:r>
    </w:p>
    <w:p>
      <w:r>
        <w:rPr>
          <w:b/>
        </w:rPr>
        <w:t>E. 7.3</w:t>
      </w:r>
    </w:p>
    <w:p>
      <w:r>
        <w:t>Comme l'a à juste titre rappelé le premier juge, la légalité matérielle de l'acte officiel n'est pas une condition d'application de l'art. 286 CP ; le juge pénal n'a pas à contrôler la légalité de l'acte, sauf vice</w:t>
      </w:r>
    </w:p>
    <w:p>
      <w:r>
        <w:t>- 24 - manifeste et grave qui permet de dire que l'autorité ou le fonctionnaire est sorti du cadre de sa mission ou que son acte était nul (TF 6B_89/2019 du 17 mai 2019 c. 1.1.1 et les références citées). Au demeurant, la décision civile n’était pas nulle au sens de la jurisprudence dont se prévaut l’appelante, dès lors qu’elle était dirigée contre une association qui dispose de la personnalité juridique, ses membres étant, à tout le moins pour partie, connus. La police agissait donc en exécution d'une décision valable d'un tribunal civil et elle a procédé à un acte qui entrait dans ses fonctions. Par surabondance, on rappellera qu’B.________ SA, propriétaire des parcelles concernées, avait déposé plainte pénale les 2 et 13 novembre 2020 contre les occupants de la ZAD. Elle n’a retiré sa plainte que le 20 mais 2021. Dans cet intervalle, il apparaît que toutes les personnes se trouvant sur les lieux étaient potentiellement susceptibles d’être reconnues coupables de violation de domicile et que le propriétaire était en droit d’obtenir la cessation de l’activité délictueuse par l’intervention des forces de l’ordre. Fondé sur ce qui précède, rien n'empêche donc l'application de l'art. 286 CP.</w:t>
      </w:r>
    </w:p>
    <w:p>
      <w:r>
        <w:rPr>
          <w:b/>
        </w:rPr>
        <w:t>E. 8.1</w:t>
      </w:r>
    </w:p>
    <w:p>
      <w:r>
        <w:t>L'appelante invoque ensuite la liberté d'expression et l'art. 10 § 1 CEDH. Elle fait valoir que son action politique avait été négociée avec les autorités qui avaient accepté la présence d'un groupe de support au pied de l'arbre et que la police avait empêché ce groupe de l'aider, la forçant ainsi à descendre. Elle ajoute que ce serait à tort que le premier juge se serait déterminé sur la portée politique de son acte et la qualité de l'impact de son acte, l'acte expressif et politique devant être protégé en tant que tel, sans que le juge pénal puisse décider qu'il n'est pas protégé parce qu'il ne le trouve pas convaincant, ou ne pense pas que d'autres aient pu le trouver convaincant ou même ait pu par absurde</w:t>
      </w:r>
    </w:p>
    <w:p>
      <w:r>
        <w:t>- 25 - établir qu'il n'était effectivement pas convaincant. Elle conteste sa condamnation pour empêchement d’accomplir un acte officiel.</w:t>
      </w:r>
    </w:p>
    <w:p>
      <w:r>
        <w:rPr>
          <w:b/>
        </w:rPr>
        <w:t>E. 8.2</w:t>
      </w:r>
    </w:p>
    <w:p>
      <w:r>
        <w:t>Les libertés d’opinion et d’information sont garanties par l’art. 16 al. 1 Cst. Toute personne a le droit de former, d’exprimer et de répandre librement son opinion (art. 16 al. 2 Cst.). Aux termes de l’art. 10 CEDH, toute personne a droit à la liberté d’expression. Ce droit comprend la liberté d’opinion et la liberté de recevoir ou de communiquer des informations ou des idées sans qu’il puisse y avoir ingérence d’autorités publiques et sans considération de frontière. L’exercice de ces libertés comportant des devoirs et des responsabilités peut être soumis à certaines formalités, conditions, restrictions ou sanctions prévues par la loi, qui constituent des mesures nécessaires, dans une société démocratique, notamment à la défense de l’ordre ou à la protection des droits d’autrui, pour empêcher la divulgation d’informations confidentielles ou pour garantir l’autorité et l’impartialité du pouvoir judiciaire (ch. 2). L’art. 22 Cst. garantit la liberté de réunion (al. 1), toute personne ayant le droit d'organiser des réunions et d’y prendre part ou non (al. 2). Sont considérées comme des réunions au sens de ces dispositions les formes les plus diverses de regroupements de personnes dans le cadre d’une organisation déterminée, dans le but, compris dans un sens large, de former ou d’exprimer mutuellement une opinion (ATF 144 I 281 consid. 5.3.1 ; ATF 132 I 256 consid. 3 ; ATF 132 I 49 consid. 5.3). Selon l’art. 11 CEDH, toute personne a droit à la liberté de réunion pacifique et à la liberté d’association (ch. 1). L’exercice de ces droits ne peut faire l’objet d’autres restrictions que celles qui, prévues par la loi, constituent des mesures nécessaires, dans une société démocratique, notamment à la protection des droits d’autrui. Le présent article n’interdit pas que des restrictions légitimes soient imposées à l’exercice de ces droits par les membres des forces armées, de la police ou de l’administration de l’Etat (ch. 2). Lorsqu’il s’agit non seulement d’exprimer une opinion, mais de le faire dans le cadre d’un rassemblement avec d’autres personnes, l’art.</w:t>
      </w:r>
    </w:p>
    <w:p>
      <w:r>
        <w:t>- 26 -</w:t>
      </w:r>
    </w:p>
    <w:p>
      <w:r>
        <w:rPr>
          <w:b/>
        </w:rPr>
        <w:t>E. 8.3</w:t>
      </w:r>
    </w:p>
    <w:p>
      <w:r>
        <w:t>Comme en a statué la Cour de céans dans deux jugements récents concernant le même complexe de faits (CAPE 15 juin 2023/199 consid. 3.3 et CAPE 29 juin 2022/210 consid. 9.3), la mesure prononcée et l’intervention de la police étaient proportionnées, les occupants de la ZAD ayant pu occuper les lieux durant plus de cinq mois, soit du 17 octobre 2020 au 30 mars 2021. Ils ont ainsi disposé de suffisamment de temps pour faire connaître leur cause et la diffuser auprès du public et des médias, ce qu’ils ont d’ailleurs fait. Dans les deux cas précités, il a été jugé que les prévenus ne sauraient ainsi se prévaloir de ces libertés pour contester leur condamnation pour empêchement d’accomplir un acte officiel. Ces jurisprudences s’appliquent au cas d’espèce, qui est similaire. L’intervention des forces de l’ordre était justifiée et proportionnée et l’appelante ne peut se prévaloir d’une ingérence dans ses droits fondamentaux pour échapper à toute sanction. A cela s’ajoute que le comportement de l’appelante a été au- delà de celui de la majorité des zadistes évacués le 30 mars 2021, par le fait qu’elle ne s’est pas contentée de rester sur les lieux jusqu’à ce que la police l’interpelle et l’évacue, mais qu’elle a volontairement « pris de la hauteur » dans le but de mettre en échec – respectivement de la retarder le plus possible – l’intervention policière visant à évacuer les militants. Le fait qu’elle soit montée sur l’arbre le jour avant l’évacuation est sans pertinence. Le fait est que seule l’appelante et un autre militant sont ainsi restés « perchés » dans un arbre pendant quatre jours, compliquant outrageusement la mission d’évacuation des forces de l’ordre, qui ont été contraints de mobiliser un nombre important d’intervenants tels que la police, une médiatrice, une équipe médicale, deux ambulances, un camion de pompiers ainsi qu’un hélicoptère d’Air Glacier. Par son comportement et son refus d’être délogée, elle a ainsi volontairement entravé la bonne marche des mesures d’évacuation, ce qu’elle ne pouvait ignorer, étant rappelé que de l’aveu même de l’appelante, durant ces quatre jours, une</w:t>
      </w:r>
    </w:p>
    <w:p>
      <w:r>
        <w:t>- 28 - médiatrice a tenté à plusieurs reprises de négocier la reddition des deux derniers zadistes. Certes, il ressort du dossier que la Conseillère d’Etat Béatrice Métraux avait accepté la présence d’un groupe de supports pour attirer l'attention de la police sur les personnes perchées dans des arbres et éviter des accidents (P. 57/3, p. 12). Cette décision n'avait toutefois pas pour but de permettre la prolongation de l'action politique des zadistes. La prévenue, vu la durée de la ZAD – qui a dépassé 5 mois – et de sa propre présence dans l'arbre, a largement eu le temps d'exprimer son point de vue. Elle ne saurait ainsi se prévaloir, au-delà de l’ordre d’évacuation, des libertés protégées par l’art. 10 § 1 CEDH. Au vu de ce qui précède, les éléments constitutifs objectifs et subjectif de l’infraction d’empêchement d’accomplir un acte officiel sont réalisés et l’appel de X.________ doit être rejeté sur ce point également. 9. X.________, qui a conclu à son acquittement, ne conteste pas la quotité de la peine en tant que telle. Examinée d’office, la peine de 15 jours-amende à 20 fr. le jour a été fixée en application des critères légaux et conformément à la culpabilité et à la situation personnelle de la prénommée. Il peut dès lors être renvoyé à cet égard à la motivation du jugement attaqué (jugement du 12 décembre 2022, pp. 42-42, art. 82 al. 4 CPP) qui est claire et convaincante. La peine, de même que l’octroi du sursis et la durée du délai d’épreuve, doivent donc être confirmés.</w:t>
      </w:r>
    </w:p>
    <w:p>
      <w:r>
        <w:rPr>
          <w:b/>
        </w:rPr>
        <w:t>E. 10</w:t>
      </w:r>
    </w:p>
    <w:p>
      <w:r>
        <w:t>L’appelante étant condamnée et succombant sur ses conclusions tendant à sa libération des fins de la poursuite pénale, elle est tenue aux frais de première instance (art. 426 al. 1 CPP). Partant, elle ne saurait prétendre à une indemnité pour les dépenses occasionnées par</w:t>
      </w:r>
    </w:p>
    <w:p>
      <w:r>
        <w:t>- 29 - l’exercice raisonnable de ses droits pour cette instance selon l’art. 429 al. 1 let. a CPP. Pour les mêmes motifs, il n’y a pas lieu à l’allocation d’une indemnité fondée sur l’art. 429 CPP en raison de la journée de détention subie, laquelle est restée limitée à une durée inférieure à 24 heures. Elle sera portée en déduction de la peine infligée.</w:t>
      </w:r>
    </w:p>
    <w:p>
      <w:r>
        <w:rPr>
          <w:b/>
        </w:rPr>
        <w:t>E. 11</w:t>
      </w:r>
    </w:p>
    <w:p>
      <w:r>
        <w:t>Vu l’issue des appels, l’émolument d’appel, par 2’200 fr. (art. 21 al. 1 et 2 TFIP [Tarif des frais de procédure et indemnités en matière pénale du 28 septembre 2010 ; BLV 312.03.1]), sera mis par deux tiers à la charge de X.________, qui succombe s’agissant de son appel (art. 428 al. 1, 1re phrase, CPP), le solde, en relation avec l’appel du Ministère public, étant laissé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