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PE21.006086 vom 18. Dezember 2023</w:t>
      </w:r>
    </w:p>
    <w:p>
      <w:r>
        <w:t>VD Tribunal cantonal, 2023-12-18, FR</w:t>
      </w:r>
    </w:p>
    <w:p>
      <w:r>
        <w:rPr>
          <w:b/>
        </w:rPr>
        <w:t xml:space="preserve">Quelle: </w:t>
      </w:r>
      <w:r>
        <w:t>https://mcp.opencaselaw.ch/entscheid/vd_gerichte_PE21.006086</w:t>
      </w:r>
    </w:p>
    <w:p>
      <w:r>
        <w:t>FR: VD_GERICHTE PE21.006086 du 18 décembre 2023</w:t>
      </w:r>
    </w:p>
    <w:p>
      <w:r>
        <w:t>IT: VD_GERICHTE PE21.006086 del 18 dicembre 2023</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3e éd., Berne 2022, n. 31 ad art. 107 LTF).</w:t>
      </w:r>
    </w:p>
    <w:p>
      <w:r>
        <w:rPr>
          <w:b/>
        </w:rPr>
        <w:t>E. 2.1</w:t>
      </w:r>
    </w:p>
    <w:p>
      <w:r>
        <w:t>Dans une jurisprudence publiée aux ATF 149 IV 9 rendue dans le même contexte général, le Tribunal fédéral a précisé les exigences relatives au contenu d’une ordonnance pénale s’agissant de la désignation de la personne prévenue. Il a considéré que lorsque les données personnelles d’une personne demeuraient en tout ou en partie inconnues, il incombait à l'autorité de pallier ces éventuelles carences par toutes mesures utiles permettant de garantir une identification et une désignation claire de celle-ci, propre à prévenir tout risque de confusion. Rien n'excluait une désignation générique accompagnée de données signalétiques, pourvu que l'on puisse être certain que la personne faisant l'objet de la procédure était bien celle que désignait l'ordonnance pénale,</w:t>
      </w:r>
    </w:p>
    <w:p>
      <w:r>
        <w:t>- 7 - à l'exclusion de toute autre. Sous ces conditions, la désignation pouvait être qualifiée de suffisante, malgré l'absence de données nominatives complètes (cf. ATF 149 IV 9 consid. 6, spéc. 6.4). Dans d’autres causes s’inscrivant dans des circonstances parfaitement analogues au cas d’espèce (cf. TF 6B_429/2022 et 6B_436/2022 du 23 août 2023 consid. 7), toujours en se fondant sur sa jurisprudence publiée aux ATF 149 IV 9, le Tribunal fédéral a considéré que l'admission de la validité d'une ordonnance pénale désignant une personne prévenue de façon générique impliquait également d'appréhender en conséquence les exigences formelles concernant les procurations produites en instance cantonale, au risque, à défaut, d’aboutir à une violation de la prohibition du formalisme excessif et de la garantie d'accès au juge. Il n’était en effet pas admissible d’admettre, d'une part, une interprétation large des exigences découlant de l’art. 353 al. 1 let. b CPP (régissant l’identité du prévenu dans le cadre de l’ordonnance pénale) tout en imposant, de l'autre, une stricte application des exigences de forme applicables aux voies de droit permettant de contester la décision de base. On ne pouvait pas à la fois considérer que la désignation retenue pour l'ordonnance pénale renvoie à une personne identifiable et ne comporte aucun risque de confusion tout en opposant à cette même personne ainsi désignée des vices de forme lorsqu'elle procède en reprenant la désignation retenue par les autorités. Les vices affectant la procuration produite à l'appui du recours cantonal, qui reprenait strictement le libellé de l'ordonnance pénale, tout comme la procuration produite à l'appui de l'opposition à dite ordonnance, ne pouvaient ainsi pas conduire à l’irrecevabilité du recours (cf. ATF 149 IV 9 consid. 7, spéc. 7.3).</w:t>
      </w:r>
    </w:p>
    <w:p>
      <w:r>
        <w:rPr>
          <w:b/>
        </w:rPr>
        <w:t>E. 2.2</w:t>
      </w:r>
    </w:p>
    <w:p>
      <w:r>
        <w:t>Se référant à cette jurisprudence, dans son arrêt du 23 août 2023, le Tribunal fédéral a considéré qu'une ordonnance pénale comportant une désignation générique analogue à celle retenue dans le cas d’I.________ ne pouvait pas être qualifiée de nulle. Il a en outre considéré, au vu de la singularité de la cause, que la stricte application des exigences de forme applicables aux voies de droit ayant conduit à</w:t>
      </w:r>
    </w:p>
    <w:p>
      <w:r>
        <w:t>- 8 - l’irrecevabilité de l’opposition et du recours devant la Chambre des recours pénale, soit la validité de la procuration, aboutissaient à une violation de la prohibition du formalisme excessif et de la garantie d’accès au juge.</w:t>
      </w:r>
    </w:p>
    <w:p>
      <w:r>
        <w:rPr>
          <w:b/>
        </w:rPr>
        <w:t>E. 2.3</w:t>
      </w:r>
    </w:p>
    <w:p>
      <w:r>
        <w:t>En l’espèce, en vertu de l’autorité de renvoi de l’arrêt du Tribunal fédéral, force est de constater que la Cour de céans ne pouvait pas déclarer irrecevable le recours déposé par Me N.________ au motif qu’il ne disposait pas d’une procuration valable. Si le tribunal de police a à juste titre considéré que l’ordonnance pénale n’était pas nulle, compte tenu des considérants de l’arrêt de renvoi, c’est en revanche à tort qu’il a considéré que l’opposition à l’ordonnance pénale était irrecevable, à tout le moins au motif que la procuration produite ne permettait pas d’identifier son auteur, qui y était désigné comme dans l’ordonnance pénale. Il s’ensuit que le recours s’avère en définitive recevable et bien fondé.</w:t>
      </w:r>
    </w:p>
    <w:p>
      <w:r>
        <w:rPr>
          <w:b/>
        </w:rPr>
        <w:t>E. 3</w:t>
      </w:r>
    </w:p>
    <w:p>
      <w:r>
        <w:t>Au vu de ce qui précède, le recours doit être admis, le prononcé rendu le 12 novembre 2021 annulé et le dossier de la cause renvoyé au Tribunal de police de l’arrondissement de La Côte pour qu’il procède selon l’art. 356 CPP. Vu le sort de la cause, les frais du présent arrêt, par 990 fr. (art. 20 al. 1 TFIP [Tarif des frais de procédure et indemnités en matière pénale du 28 septembre 2010 ; BLV 312.03.1]), seront laissés à la charge de l’Etat (art. 428 al. 4 CPP). Contrairement à ce que soutient le tribunal de police, il n’y a pas lieu de mettre une partie des frais de procédure à la charge du recourant, qui obtient entièrement gain de cause sur l’une de ses conclusions alternatives. Le recourant, qui obtient gain de cause et qui a procédé avec l’assistance d’un avocat de choix, a droit à une indemnité pour les dépenses occasionnées par l’exercice raisonnable de ses droits pour la</w:t>
      </w:r>
    </w:p>
    <w:p>
      <w:r>
        <w:t>- 9 - procédure antérieure et ultérieure à l’arrêt du Tribunal fédéral. L’activité alléguée par Me N.________, soit 3h pour la procédure de recours antérieure à l’arrêt de renvoi et 1h pour la procédure ultérieure, ne prête pas le flanc à la critique. Cette activité sera toutefois indemnisée au tarif horaire de 300 fr. (art. 26a al. 3 TFIP), le tarif de 400 fr. étant trop élevé au regard de la complexité de la cause. L’indemnité sera donc fixée à 1’200 fr., sur la base de 4 heures d’activité nécessaire d’avocat au tarif horaire de 300 francs. Il faut y ajouter 2 % pour les débours forfaitaires (art. 19 al. 2 TDC [tarif des dépens en matière civile du 23 novembre 2010 ; BLV 270.11.6]), applicable par renvoi de l’art. 26a al. 6 TFIP), soit 24 fr., et la TVA de 7,7 % sur le tout, soit 94 fr. 25, ce qui correspond à la somme totale de 1'319 fr. en chiffres arrondis. Cette indemnité sera mise à la charge de l’Etat et versée à Me N.________ pour le compte d’I.________, puisque dite indemnité ne peut lui être versée directement. Me N.________, qui n’était pas concerné personnellement par la procédure antérieure à l’arrêt du Tribunal fédéral mais qui a agi par l’intermédiaire d’un avocat de choix dans la procédure ultérieure, a droit à une indemnité pour les dépenses occasionnées par la procédure postérieure à l’arrêt du Tribunal fédéral. Celle-ci sera fixée à 300 fr., correspondant à une heure d’activité d’avocat, à laquelle il y a lieu d’ajouter 2 % pour les débours forfaitaires, soit 6 fr., et la TVA de 7,7 % sur le tout, soit 23 fr. 55, ce qui donne 330 fr. en chiffres arrondis. Par ces motifs, la Chambre des recours pénale prononce : I. Le recours est admis. II. Le prononcé du 12 novembre 2021 est annulé. III. Le dossier de la cause est renvoyé au Tribunal de police de l’arrondissement de La Côte pour qu’il procède dans le sens des considérants.</w:t>
      </w:r>
    </w:p>
    <w:p>
      <w:r>
        <w:t>- 10 - IV. Les frais d’arrêt, par 990 fr. (neuf cent nonante francs), sont laissés à la charge de l’Etat. V. Une indemnité de 1’319 fr. (mille trois cent dix-neuf francs) est allouée à Me N.________ pour I.________ pour les dépenses occasionnées par les procédures de recours antérieure et postérieure à l’arrêt du Tribunal fédéral, à la charge de l’Etat. VI. Une indemnité de 330 fr. (trois cent trente francs) est allouée à Me N.________ pour les dépenses occasionnées par la procédure postérieure à l’arrêt du Tribunal fédéral, à la charge de l’Etat. VII. L’arrêt est exécutoire. La présidente : Le greffier : Du Le présent arrêt, dont la rédaction a été approuvée à huis clos, est notifié, par l'envoi d'une copie complète, à : - Me N.________, avocat (pour I.________), - Me [...], avocat (pour Me N.________), - Ministère public central, et communiqué à : - M. le Président du Tribunal de police de l’arrondissement de La Côte, - M. le Procureur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