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PE21.006074 vom 27. September 2021</w:t>
      </w:r>
    </w:p>
    <w:p>
      <w:r>
        <w:t>VD Tribunal cantonal, 2021-09-27, FR</w:t>
      </w:r>
    </w:p>
    <w:p>
      <w:r>
        <w:rPr>
          <w:b/>
        </w:rPr>
        <w:t xml:space="preserve">Quelle: </w:t>
      </w:r>
      <w:r>
        <w:t>https://mcp.opencaselaw.ch/entscheid/vd_gerichte_PE21.006074</w:t>
      </w:r>
    </w:p>
    <w:p>
      <w:r>
        <w:t>FR: VD_GERICHTE PE21.006074 du 27 septembre 2021</w:t>
      </w:r>
    </w:p>
    <w:p>
      <w:r>
        <w:t>IT: VD_GERICHTE PE21.006074 del 27 settembre 2021</w:t>
      </w:r>
    </w:p>
    <w:p>
      <w:pPr>
        <w:pStyle w:val="Heading2"/>
      </w:pPr>
      <w:r>
        <w:t>Erwägungen</w:t>
      </w:r>
    </w:p>
    <w:p>
      <w:r>
        <w:rPr>
          <w:b/>
        </w:rPr>
        <w:t>E. 27</w:t>
      </w:r>
    </w:p>
    <w:p>
      <w:r>
        <w:t>août 2021, le Tribunal de police a avisé « Y.________ « [...] », matricule n°[...], AFIS : [...], sans domicile connu » que l’opposition déposée en son nom contre l’ordonnance pénale rendue contre elle le 1er avril 2021 avait été déclarée irrecevable. Le prononcé a été notifié à Me Z.________ le 23 août 2021 en qualité « d’auteur de l’opposition ». C. a) Par acte du 2 septembre 2021, Me Z.________, prétendant agir au nom et pour le compte d’« Y.________ alias « [...] », numéro AFIS [...] », a recouru auprès de la Chambre de céans contre ce prononcé, en concluant en substance à sa réforme en ce sens que l’opposition à l’ordonnance pénale soit déclarée recevable, la cause étant renvoyée au Tribunal de police de l’arrondissement de La Côte et une indemnité de dépens de 2'000 fr. étant allouée à la prévenue. Il a en outre produit la seconde page de la procuration produite le 12 avril 2021, datée du 7 avril 2021, le désignant comme</w:t>
      </w:r>
    </w:p>
    <w:p>
      <w:r>
        <w:t>- 6 - mandataire d’« Y.________ « [...] » », munie d’une signature indéchiffrable (P. 23/1). b) Il n’a pas été ordonné d’échange d’écritures. En d roit : 1. 1.1 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CPP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t>- 7 - 1.2 En l’espèce, le recours a été déposé en temps utile auprès de l’autorité compétente, par l’avocat Z.________, prétendant agir au nom d’ « Y.________ alias « [...] », numéro AFIS [...] ». Il convient d’abord d’examiner si le dépôt du recours respecte les exigences de la forme écrite posées par l’art. 396 al. 1 CPP. 2. 2.1 2.1.1 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w:t>
      </w:r>
    </w:p>
    <w:p>
      <w:r>
        <w:t>- 8 -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 2.4 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 2.1.2 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w:t>
      </w:r>
    </w:p>
    <w:p>
      <w:r>
        <w:t>- 9 -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 2.1.3 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 2.2 2.2.1 En l’espèce, le recours n’est pas muni de la signature manuscrite de la partie visée par l’ordonnance pénale et qui prétend avoir fait opposition à celle-ci, mais seulement de celle de Me Z.________. En outre, s’il figure au dossier une procuration conférée à cet avocat, celle-ci n’est toutefois pas munie d’une signature lisible. Et pour cause, puisque, pour qu’une signature en bonne et due forme figure au dossier, il aurait fallu que la personne en cause dévoile son identité, ce qui aurait permis à la direction de la procédure de vérifier, au moyen des papiers d’identité de cette personne, qu’il s’agissait bien de sa signature. Or, la partie visée par l’ordonnance pénale refuse précisément de dévoiler son identité et de fournir ses papiers d’identité. Au vu de ce qui précède, il faut en conclure que le recours n’est signé que par l’avocat Z.________, et que celui-ci n’établit pas être au</w:t>
      </w:r>
    </w:p>
    <w:p>
      <w:r>
        <w:t>- 10 - bénéfice d’un pouvoir de représentation conféré par la partie visée par l’ordonnance pénale, conforme à l’art. 129 al. 2 CPP. Dans la mesure où il ne s’agit pas d’une omission involontaire de l’avocat Z.________, mais d’un choix délibéré, la Chambre de céans n’a pas l’obligation de lui impartir un délai pour que sa prétendue mandante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 2.2.2 Quant à l’argument selon lequel la partie visée par l’ordonnance pénale serait en droit d’utiliser un « alias » plutôt que de dévoiler son identité, il ne trouve appui sur aucune règle du Code de procédure pénale, et l’avocat Z.________ n’en cite aucune. Au demeurant, il convient de relever qu’un numéro d’inconnu, accompagné le cas échéant d’un surnom, tel que celui utilisé par l’avocat Z.________ pour désigner sa prétendue cliente,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 1.3 et TF 6B_110/2013 du 28 mai 2013 consid. 2.3). Il s’ensuit qu’en l’occurrence, la prétendue cliente de l’avocat Z.________, n’ayant fourni aucune identité, ne peut pas se prévaloir d’un « alias » mais tout au plus d’un surnom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w:t>
      </w:r>
    </w:p>
    <w:p>
      <w:r>
        <w:t>- 11 -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la prétendue cliente de l’avocat Z.________ ne saurait se prévaloir de son droit au silence pour refuser de révéler son identité et de signer une procuration en bonne et due forme en faveur de son éventuel conseil de choix. 2.3 Au vu de ce qui précède, déposé par un représentant sans pouvoir, le recours est irrecevable. 3. En définitive, le recours doit être déclaré irrecevable,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de l’avocat Z.________ qui, en tant que « falsus procurator », les a occasionnés (art. 417 et 428 al. 1 in fine CPP ; ATF 129 IV 206 consid. 2 ; TF 1B_371/2015 du 19 janvier 2016 ; TF 4F_15/2008 du 20 novembre 2013 consid. 2.3.3 ; TF 4C_392/2006 du 27 février 2007 consid. 6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w:t>
      </w:r>
    </w:p>
    <w:p>
      <w:r>
        <w:t>- 12 - Vu le sort du recours, aucune indemnité ne sera allouée à la personne prétendument représentée par l’avocat Z.________ pour les dépenses occasionnées par la procédure. Par ces motifs, la Chambre des recours pénale prononce : I. Le recours est irrecevable. II. Les frais d’arrêt, par 1’210 fr. (mille deux cent dix francs), sont mis à la charge de Me Z.________. III. L’arrêt est exécutoire. Le président : La greffière : Du Le présent arrêt, dont la rédaction a été approuvée à huis clos, est notifié, par l'envoi d'une copie complète, à : - Me Z.________, avocat, - Ministère public central, et communiqué à : - M. le Président du Tribunal de police de l’arrondissement de La Côte, - Mme la Procureure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