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PE21.006068 vom 6. Juli 2021</w:t>
      </w:r>
    </w:p>
    <w:p>
      <w:r>
        <w:t>VD Tribunal cantonal, 2021-07-06, FR</w:t>
      </w:r>
    </w:p>
    <w:p>
      <w:r>
        <w:rPr>
          <w:b/>
        </w:rPr>
        <w:t xml:space="preserve">Quelle: </w:t>
      </w:r>
      <w:r>
        <w:t>https://mcp.opencaselaw.ch/entscheid/vd_gerichte_PE21.006068</w:t>
      </w:r>
    </w:p>
    <w:p>
      <w:r>
        <w:t>FR: VD_GERICHTE PE21.006068 du 6 juillet 2021</w:t>
      </w:r>
    </w:p>
    <w:p>
      <w:r>
        <w:t>IT: VD_GERICHTE PE21.006068 del 6 luglio 2021</w:t>
      </w:r>
    </w:p>
    <w:p>
      <w:pPr>
        <w:pStyle w:val="Heading2"/>
      </w:pPr>
      <w:r>
        <w:t>Erwägungen</w:t>
      </w:r>
    </w:p>
    <w:p>
      <w:r>
        <w:rPr>
          <w:b/>
        </w:rPr>
        <w:t>E. 1.1</w:t>
      </w:r>
    </w:p>
    <w:p>
      <w:r>
        <w:t>Aux termes de l’art. 393 al. 1 let. a CPP, le recours est recevable contre les décisions et les actes de procédure du Ministère public. Ainsi, la décision du Ministère public ordonnant un prélèvement d'ADN au sens de l’art. 255 CPP peut faire l’objet d’un recours au sens des art. 393 ss CPP (Moreillon/Parein-Reymond, Petit commentaire du Code de procédure pénale, 2e éd., Bâle 2016, n. 12 ad art. 393 CPP).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 en temps utile auprès de l’autorité compétente par la prévenue qui a la qualité pour recourir (art. 382 CPP) et dans les formes prescrites (art. 385 al. 1 CPP), le recours est recevable.</w:t>
      </w:r>
    </w:p>
    <w:p>
      <w:r>
        <w:rPr>
          <w:b/>
        </w:rPr>
        <w:t>E. 2.1</w:t>
      </w:r>
    </w:p>
    <w:p>
      <w:r>
        <w:t>Se référant notamment à la jurisprudence récente du Tribunal fédéral 1B_285/2020 du 22 avril 2021, la recourante invoque une violation des art. 197 et 255 CPP. Elle soutient que le profilage génétique ne serait pas utile à l'enquête, et que le degré de gravité des faits reprochés ne justifierait pas la mesure, soulignant en particulier que l’ordonnance pénale rendue à son encontre le 31 mars 2021 précisait qu’elle n’avait « pas fait preuve d’agressivité à l’encontre des forces de l’ordre. » La décision du Ministère public serait dès lors disproportionnée et</w:t>
      </w:r>
    </w:p>
    <w:p>
      <w:r>
        <w:t>- 7 - restreindrait de manière inacceptable sa liberté d’exercer ses droits fondamentaux.</w:t>
      </w:r>
    </w:p>
    <w:p>
      <w:r>
        <w:rPr>
          <w:b/>
        </w:rPr>
        <w:t>E. 2.2</w:t>
      </w:r>
    </w:p>
    <w:p>
      <w:r>
        <w:t>Aux termes de l’art. 7 al. 1 let. a de la loi sur les profils ADN (Loi fédérale sur l’utilisation de profils d’ADN dans les procédures pénales et sur l’identification de personnes inconnues ou disparues du 20 juin 2003 ; RS 363), la police, l’autorité d’instruction pénale ou le tribunal pénal (autorités qui ordonnent les mesures) peuvent ordonner le prélèvement non invasif d’échantillons sur des personnes et l’analyse de ces échantillons pour l’établissement d’un profil ADN. Selon l’art. 255 al. 1 CPP, pour élucider un crime ou un délit, le prélèvement d'un échantillon et l'établissement d'un profil ADN peuvent être ordonnés sur le prévenu (let. a), sur d'autres personnes, notamment les victimes et les personnes habilitées à se rendre sur les lieux de l'infraction si cela est nécessaire pour distinguer leur matériel biologique de celui du prévenu (let. b), sur des personnes décédées (let. c) ou sur le matériel biologique qui a un rapport avec l'infraction (let. d). Les mesures de reconnaissance et la conservation des données peuvent porter atteinte au droit à la liberté personnelle (art. 10 Cst. [Constitution fédérale de la Confédération suisse du 18 avril 1999 ; RS 101]) et à la libre détermination de la sphère privée (art. 13 al. 2 Cst. et 8 CEDH). Il s’agit d’une restriction légère des droits fondamentaux. Toute restriction de droits fondamentaux ne doit pas seulement avoir une base légale, mais doit également être justifiée par un intérêt public et respecter le principe de proportionnalité (art. 36 al. 1 à 3 Cst.). L’art. 255 CPP n’autorise pas le prélèvement d’échantillons d’ADN et leur analyse de manière routinière. Ceci est concrétisé par l’art. 197 al. 1 CPP, qui dispose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 (ATF 145 IV 263 consid. 3.4, JdT 2019 IV 327 ; TF 1B_285/2020 du 22 avril 2021). Pour constituer des</w:t>
      </w:r>
    </w:p>
    <w:p>
      <w:r>
        <w:t>- 8 - soupçons suffisants, les indices laissant présumer qu’une infraction a été commise doivent être sérieux et concrets (ATF 141 IV 87 consid. 1.3.1, JdT 2015 IV 280). L’établissement d’un profil ADN qui ne sert pas à l’élucidation d’une infraction en cours n’est conforme au principe de la proportionnalité que s’il existe des indices sérieux et concrets que le prévenu pourrait être impliqué dans d’autres infractions, même futures. Il doit toutefois s’agir d’infractions d’une certaine gravité. Il doit également être pris en compte si la personne prévenue a des antécédents ; si tel n’est pas le cas, ceci n’exclut pas pour autant l'établissement d'un profil ADN, mais doit être pris en considération parmi les nombreux critères dans l'appréciation générale et doit être pondéré en conséquence. Le fait qu'il n'existe pas de soupçons suffisants qui laissent présumer une infraction au sens de l'art. 197 al. 1 CPP pour des infractions futures ne s'oppose pas à l'établissement d'un profil ADN en vue de telles infractions. De tels soupçons doivent exister pour ce qui concerne l'acte qui a fondé le prélèvement ou l'établissement du profil ADN. Dans la perspective d'éventuelles infractions pénales futures, des indices au sens mentionné suffisent (ATF 145 IV 263 consid. 3.4, JdT 2019 IV 327). Il s’impose d’examiner chaque cas individuel pour ordonner l’établissement d’un profil ADN (ATF 141 IV 87 consid. 1.4.2, JdT 2015 IV 280 ; CREP 14 avril 2020/282 ; CREP 6 décembre 2018/950 consid. 2.2.2).</w:t>
      </w:r>
    </w:p>
    <w:p>
      <w:r>
        <w:rPr>
          <w:b/>
        </w:rPr>
        <w:t>E. 2.3</w:t>
      </w:r>
    </w:p>
    <w:p>
      <w:r>
        <w:t>En l’espèce, la recourante s’est identifiée le 14 juin 2021, soit pendant le délai de recours. Si l’on peut admettre, sous l’angle de la sécurité du droit, qu’au 31 mai 2021, l'établissement du profil ADN de la prévenue était une mesure nécessaire et proportionnée afin de permettre son identification, étant donné le devoir de l’autorité de poursuite pénale d’identifier la personne poursuivie (cf. art. 215 al. 2 CPP), l’obligation de décliner son identité l’emportant sur le droit de garder le silence (TF 6B_1297/2017 du 26 juillet 2018), en revanche, dès lors que la prévenue s’est identifiée le 14 juin 2021, la mesure devient disproportionnée en application de la récente jurisprudence fédérale (TF 1B_285/2020 du 22</w:t>
      </w:r>
    </w:p>
    <w:p>
      <w:r>
        <w:t>- 9 - avril 2021), la condition de la présence d’infractions graves, passées ou futures, justifiant l’établissement d’un profil ADN au sens de la jurisprudence du Tribunal fédéral, faisant défaut. Rien n’indique en effet que la prévenue aurait participé à d’éventuels actes de violence ou aurait adhéré à de tels actes sur la ZAD lors de son évacuation, ni qu’elle serait disposée à commettre un quelconque acte de violence à l’avenir.</w:t>
      </w:r>
    </w:p>
    <w:p>
      <w:r>
        <w:rPr>
          <w:b/>
        </w:rPr>
        <w:t>E. 3</w:t>
      </w:r>
    </w:p>
    <w:p>
      <w:r>
        <w:t>Il résulte de ce qui précède que le recours de P.________ doit être admis et l’ordonnance entreprise annulée, le prélèvement ADN concerné devant être détruit. Les frais d'arrêt, par 990 fr. (art. 20 al. 1 TFIP [Tarif des frais de procédure et indemnités en matière pénale du 28 septembre 2010 ; BLV 312.03.1]), seront mis à la charge de la recourante dans la mesure où les conditions qui lui ont permis d’obtenir gain de cause n’ont été réalisées que dans la procédure de recours (art. 428 al. 2 let. a CPP). Dès lors que la prévenue a rendu plus difficile la conduite de la procédure pénale en rapport avec son identification formelle, il ne lui sera alloué aucune indemnité pour les dépenses occasionnées par la procédure de recours (art. 430 al. 2 CPP). Par ces motifs, la Chambre des recours pénale prononce : I. Le recours est admis. II. L’ordonnance du 31 mai 2021 est annulée. III. La destruction du prélèvement ADN no 3361916420 est ordonnée. IV. Aucune indemnité n’est allouée à P.________ pour la procédure de recours. V. Les frais d’arrêt, par 990 fr. (neuf cent nonante francs), sont mis à la charge de P.________. VI. L’arrêt est exécutoire.</w:t>
      </w:r>
    </w:p>
    <w:p>
      <w:r>
        <w:t>- 10 - Le président : Le greffier : Du Le présent arrêt, dont la rédaction a été approuvée à huis clos, est notifié, par l'envoi d'une copie complète, à : - Me Luisa Bottarelli, avocate (pour P.________),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