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PE21.005989 vom 24. Januar 2022</w:t>
      </w:r>
    </w:p>
    <w:p>
      <w:r>
        <w:t>VD Tribunal cantonal, 2022-01-24, FR</w:t>
      </w:r>
    </w:p>
    <w:p>
      <w:r>
        <w:rPr>
          <w:b/>
        </w:rPr>
        <w:t xml:space="preserve">Quelle: </w:t>
      </w:r>
      <w:r>
        <w:t>https://mcp.opencaselaw.ch/entscheid/vd_gerichte_PE21.005989</w:t>
      </w:r>
    </w:p>
    <w:p>
      <w:r>
        <w:t>FR: VD_GERICHTE PE21.005989 du 24 janvier 2022</w:t>
      </w:r>
    </w:p>
    <w:p>
      <w:r>
        <w:t>IT: VD_GERICHTE PE21.005989 del 24 gennaio 2022</w:t>
      </w:r>
    </w:p>
    <w:p>
      <w:pPr>
        <w:pStyle w:val="Heading2"/>
      </w:pPr>
      <w:r>
        <w:t>Erwägungen</w:t>
      </w:r>
    </w:p>
    <w:p>
      <w:r>
        <w:rPr>
          <w:b/>
        </w:rPr>
        <w:t>E. 17</w:t>
      </w:r>
    </w:p>
    <w:p>
      <w:r>
        <w:t>juin 2022, la prévenue pouvait considérer de bonne foi qu’en s’identifiant à ce stade, le vice serait réparé et son opposition jugée recevable. Ainsi, il considère que c’est à tort que le Tribunal de police a décidé d’entrer en matière sur le fond, alors même que celui-ci a admis dans son jugement qu’« en appliquant strictement les règles du Code de procédure pénale, la procuration devrait être considérée comme produite tardivement et l’opposition déclarée irrecevable » (cf. jugement, p. 17). 6.2 6.2.1 Selon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 b et d, soit une amende, une peine pécuniaire de 180 jours-amende au plus ou une peine privative de liberté de six mois au plus. Le prévenu peut former opposition à l’ordonnance pénale, par écrit et dans les dix jours (art. 354 al. 1 let. a CPP), étant précisé que son opposition n’a pas à être motivée (al. 2). Dans ce cas, le Ministère public administre les autres preuves nécessaires au jugement de l’opposition (art. 355 al. 1 CPP). Après l’administration des preuves, il peut notamment décider de maintenir l’ordonnance pénale (art. 355 al. 3 let. a CPP). Tel est le cas lorsque le Ministère public considère que l’opposition n’est pas valable (TF 6B_1067/2018 du 23 novembre 2018 consid. 1.2 ; TF 6B_271/2018 du 20 juin 2018 consid. 2.1 ; Jeanneret/Kuhn, Précis de procédure pénale, 2e éd., Berne 2018, n. 17025). Aux termes de l’art. 356 CPP, lorsqu’il décide de maintenir l’ordonnance pénale, le Ministère public transmet sans retard le dossier au tribunal de première instance en vue des débats. L’ordonnance pénale</w:t>
      </w:r>
    </w:p>
    <w:p>
      <w:r>
        <w:t>- 26 - tient lieu d’acte d’accusation (al. 1). Le tribunal de première instance statue sur la validité de l’ordonnance pénale et de l’opposition (al. 2). Seul ce tribunal est compétent pour statuer sur la validité de l’opposition à l’ordonnance pénale (ATF 140 IV 192 consid. 1.3, JdT 2015 IV 65 p. 68). L’examen de la validité de l’opposition a lieu d’office (TF 6B_1067/2018 précité ; TF 6B_271/2018 précité ; TF 6B_910/2017 du 29 décembre 2017 consid. 2.4). Lorsque l’opposition n’est pas valable, notamment en raison de sa tardiveté (ATF 142 IV 201 consid. 2.2, JdT 2017 IV 80 p. 82), le tribunal de première instance n’entre pas en matière sur l’opposition (Message, op. cit., FF 2006 1057, spéc. 1275 ad art. 360 CPP ; TF 6B_218/2020 du 17 avril 2020 consid. 1.1). Le contrôle imposé au tribunal de première instance par l’art. 356 al. 2 CPP a lieu à titre préjudiciel, dans le cadre des art. 329 al. 1 let. b CPP, respectivement 339 al. 2 let. b CPP, la validité de l’opposition constituant une condition du procès (TF 6B_883/2020 du 15 avril 2021 consid. 2.1.2 ; TF 6B_1067/2018 précité ; TF 6B_271/2018 précité ; ATF 141 IV 39 consid. 1.5, JdT 2015 IV 183 pp. 188, 189). Si l’ordonnance pénale n’est pas valable, le tribunal l’annule et renvoie le cas au Ministère public en vue d’une nouvelle procédure préliminaire (art. 356 al. 5 CPP). Cette disposition régit la situation dans laquelle l’ordonnance pénale n’est pas valable, essentiellement parce qu’elle ne respecte pas les conditions de l’art. 352 al. 1 CPP (cf. TF 6B_910/2017 précité ; Denys, Ordonnance pénale : Questions choisies et jurisprudence récente, in : SJ 2016 II p. 125, 135-136). Si le Tribunal de première instance constate que l’opposition n’est pas formellement valable, il la déclare irrecevable, en principe sans interpeller le prévenu, par une décision susceptible de recours (Moreillon/Parein-Reymond, op. cit., n. 8 ad art. 356 CPP). Si l’opposition est jugée recevable, le tribunal se saisit de l’affaire au fond (Jeanneret/Kuhn, op. cit., nn. 17025 et 17028 ; Riklin, in : Niggli/Heer/Wiprächtiger [éd.], Basler Kommentar, Schweizerische Strafprozessordnung, Jugendstrafprozess-ordnung, 2e éd., Bâle 2014 [ci- après : Basler Kommentar], n. 2 ad art. 356 StPO).</w:t>
      </w:r>
    </w:p>
    <w:p>
      <w:r>
        <w:t>- 27 - 6.2.2 Aux termes de l’art. 89 al. 1 CPP, les délais fixés par la loi ne peuvent être prolongés. Cela signifie que la direction de la procédure, pas plus qu’un tribunal, ne saurait prolonger, à la demande expresse de l’une des parties, un délai fixé par le CPP (Moreillon/Parein-Reymond, op. cit., n. 3 ad art. 89 CPP). 6.2.3 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l’opposition à l’ordonnance pénale. Ainsi, en vertu de l’art. 354 al. 1 CPP, l’opposition contre l’ordonnance pénale doit être formée par écrit dans un délai de dix jours. D’après la jurisprudence du Tribunal fédéral rendue en matière de procédure pénale, dans les cas où la loi exige le respect de la forme écrite, l’acte en cause doit être transmis par écrit, daté et signé (ATF 145 IV 190 précité consid. 1.3.2 ; ATF 142 IV 299 précité consid. 1.1 et les réf. citées ; TF 1B_456/2020 du 8 octobre 2020 consid. 2 ; cf. aussi TF 6B_1048/2019 du 28 janvier 2020 consid. 1.2). De jurisprudence constante, la signature doit être apposée à la main par la partie sur le document écrit en cause (ATF 142 IV 299 précité et les réf. citées ; TF 6B_307/2021 du 31 mai 2021 consid. 3) ; c’est la raison pour laquelle</w:t>
      </w:r>
    </w:p>
    <w:p>
      <w:r>
        <w:t>- 28 - les actes transmis par télécopie, courriel ou SMS ne respectent pas la forme écrite, car la signature de la partie ne peut pas y figurer en original (ATF 142 IV 299 précité consid. 1.1 et 1.3.3 et les réf. citées ; ATF 142 V 152 consid. 2.4 et les références citées) ; il en va de même, pour les mêmes raisons, des signatures de la partie qui seraient photocopiées, fac- similées, scannées ou reproduites de toute autre manière (TF 6B_307/2021 précité ; TF 6B_51/2015 du 28 octobre 2015 consid. 2.2 ; TF 6B_902/2013 du 28 octobre 2013 consid. 3.2 ; TF 1B_304/2013 du 27 septembre 2013 consid. 2.2). 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Si l’autorité a le devoir d’attirer l’attention des parties sur l’existence d’un vice formel immédiatement reconnaissable,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consid. 2.4.3 ; TF 6B_51/2015 précité). 6.2.4 Aux termes de l’art. 129 CPP, dans toutes les procédures pénales et à n’importe quel stade de celles-ci, le prévenu a le droit de charger de sa défense un conseil juridique au sens de l’art. 127 al. 5 (défense privée) ou, sous réserve de l’art. 130, de se défendre soi-même (al. 1). L’exercice de la défense privée exige une procuration écrite ou une déclaration du prévenu consignée au procès-verbal (al. 2). L’art. 129 al. 2 CPP définit une simple prescription d’ordre. Les preuves administrées en présence du défenseur alors qu’aucune</w:t>
      </w:r>
    </w:p>
    <w:p>
      <w:r>
        <w:t>- 29 - procuration écrite n’a pu être établie ne sont pas pour autant inexploitables (Moreillon/Parein-Reymond, op. cit., n. 6 ad art. 129 CPP et les réf. citées). Dans la même mesure en effet où l’avocat a participé, aux côtés de son client, à son audition ou à des mesures d’instruction, conformément à l’art. 147 al. 1 CPP, on peut partir de l’idée qu’un mandat de représentation oral a été donné. Une procuration écrite doit être, par la suite, versée au dossier (Moreillon/Parein-Reymond, op. cit., n. 6 ad art. 129 CPP). 6.2.5 L’art. 29 al. 1 Cst.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précité consid. 2.4.2 ; ATF 135 I 6 consid. 2.1, JdT 2011 IV 17 pp. 19, 20).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 citées). L’exigence du respect de la forme écrite au sens des art. 110 al. 1 et 396 al. 1 CPP précités ne viole pas l’interdiction du formalisme excessif (ATF 142 IV 299 précité consid. 1.3, spéc. consid. 1.3.3 ; ATF 142 I 10 précité ; TF 6B_307/2021 précité).</w:t>
      </w:r>
    </w:p>
    <w:p>
      <w:r>
        <w:t>- 30 - 6.3 En l’espèce, le 12 avril 2021, l’opposition de Me Philippe Currat du 12 avril 2021, au nom d’« INCONNUE [...], matricule no [...], AFIS [...], de sexe féminin » a été déposée en temps utile, soit dans le délai de dix jours de l’art. 354 al. 1 let. a CPP. Toutefois, conformément à la jurisprudence citée supra, la procuration jointe à cette déclaration ne respectait pas la forme écrite (art. 110 al. 1 CPP). De plus, Me Philippe Currat n’a pas corrigé le vice dans le délai de grâce qui lui avait été imparti par le Ministère public. Cependant, le Ministère public n’était pas compétent pour fixer un tel délai (art. 89 al. 1 CPP). En effet, conformément à la jurisprudence citée supra (cf. consid. 6.2.1), seul le Tribunal de première instance est compétent pour statuer sur la validité de l’opposition à l’ordonnance pénale. Ainsi, il appartenait en l’espèce au Président du Tribunal de première instance de procéder au contrôle de la validité de l’opposition, laquelle doit être accompagnée, en cas de défense privée, d’une procuration écrite (art. 129 al. 2 CPP). Il lui appartenait donc d’examiner si Me Philippe Currat avait valablement été mandaté par sa cliente pour former opposition. Me Philippe Currat a transmis une procuration valable (établie en sa faveur et au nom de sa mandante), qui confirmait la première, dans le délai restitué et prolongé par le Tribunal de police ; l’exigence de la production d’une procuration écrite pour l’exercice de la défense privée n’étant qu’une prescription d’ordre (cf. supra consid. 6.2.4), une partie ne peut pas perdre ses droits pour une possible tardiveté de cette production. En outre, le Tribunal de première instance n’a pas violé le droit fédéral en considérant, dans le cas précis, que Me Philippe Currat et sa mandante pouvaient exciper de leur bonne foi (cf. jugement, p. 17). En effet, ceux-ci pouvaient valablement penser qu’un nouveau délai leur avait été fixé pour produire une procuration valable, notamment en raison de la formulation adoptée par le Tribunal de police : « Le ministère public soutient que vous avez agi sans procuration valable. Un délai vous est imparti au 14 juin 2021 pour vous déterminer sur cette question et tout autre élément qui vous paraîtrait utile sur la question de la recevabilité » (P. 18). Au vu de ce qui précède, c’est à raison que le Tribunal de police a considéré, d’une part, que l’opposition à l’ordonnance pénale était</w:t>
      </w:r>
    </w:p>
    <w:p>
      <w:r>
        <w:t>- 31 - recevable et, d’autre part, celle-ci valant acte d’accusation, qu’il convenait d’entrer en matière sur le fond. L’appel du Ministère public doit être rejeté sur ce point. 7. 7.1 Selon le Ministère public, le retrait de plainte de la société W.________SA étant postérieur à l’entrée en force de l’ordonnance pénale, celle-ci ne pourrait ainsi être modifiée. Il n’y pas lieu d’entrer en matière sur ce grief, l’opposition étant recevable pour les motifs exposés ci-dessus (cf. supra consid. 6.3). Ce grief doit par conséquent être rejeté. 8. 8.1 Sur le fond, l’appelante conteste s’être rendue coupable d’empêchement d’accomplir un acte officiel. 8.2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s., JdT 2006 IV 252 ; ATF 120 IV 136 consid. 2a p. 139 et les références citées, JdT 1995 I 720). Il n’est en revanche pas nécessaire que l’auteur parvienne à éviter effectivement l’accomplissement de l’acte officiel, il suffit qu’il le rende plus difficile, l’entrave ou le diffère (ATF 127 IV 115 précité ; ATF 124 IV 127 consid. 3a p. 129 ; TF 6B_89/2019 du 17 mai 2019 consid. 1.1.1 ; TF 6B_410/2018 du</w:t>
      </w:r>
    </w:p>
    <w:p>
      <w:r>
        <w:rPr>
          <w:b/>
        </w:rPr>
        <w:t>E. 20</w:t>
      </w:r>
    </w:p>
    <w:p>
      <w:r>
        <w:t>jours. Quant à Z.________, qui a conclu à son acquittement pour l’infraction d’empêchement d’accomplir un acte officiel, elle ne conteste pas en tant que telle la peine que le Tribunal de police a prononcé à son égard. 10.2 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- 38 -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10.2.2 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10.2.3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précité consid. 3c p. 64). 10.3 En l’espèce, avec le premier juge, il faut considérer que la faute de l’appelante est légère et que bien qu’elle se soit activement employée à faire échec à son évacuation par la police, elle n’a toutefois pas eu d’attitude violente (cf. jugement, p. 26). En outre, elle a agi dans un but idéal et non par intérêt personnel. Ainsi, la circonstance atténuante de l’art. 48 let. a CP peut être retenue en sa faveur et une peine de 10 jours-amende paraît adéquate. Lors de l’audience d’appel, la prévenue</w:t>
      </w:r>
    </w:p>
    <w:p>
      <w:r>
        <w:t>- 39 - a affirmé entrer prochainement en troisième année à la Haute école d’art. Elle est encore à la charge de ses parents et exerce toujours une petite activité d’étudiante. Ainsi, compte tenu de sa situation financière, il convient de confirmer le montant du jour-amende fixé à 20 fr., détention provisoire déduite. Dès lors que Z.________ n’a pas d’antécédents pénaux, il convient de confirmer l’octroi du suris (art. 42 al. 1 CP) et la durée du délai d’épreuve fixée à deux ans. Le Tribunal a par ailleurs renoncé à prononcer une amende à titre de sanction immédiate, ce qui doit également être confirmé. La peine prononcée par le Tribunal de première instance est ainsi adéquate. 11. 11.1 Z.________ conclut enfin à l’octroi d’une indemnité équitable en application de l’art. 429 CPP. 11.2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spéc. 1312 ch. 2.10.3.1 ; ATF 142 IV 45 consid. 2.1). 11.3 A l’audience d’appel, le conseil de l’appelante, Me Philippe Currat, a produit (par envoi numérique) une liste des opérations faisant état de 2’464 minutes d’activité d’avocat y compris la durée de l’audience</w:t>
      </w:r>
    </w:p>
    <w:p>
      <w:r>
        <w:t>- 40 - d’appel estimée à 240 minutes pour un total de 19’902 fr. 95 pour ses opérations effectuées entre le 12 avril 2021 et le 29 juin 2022, soit pour les procédures de première et de seconde instance (P. 58). En première instance, la prévenue a été libérée de l’accusation de violation de domicile en raison du retrait de plainte, et de l’accusation d’insoumission à une décision de l’autorité – simple contravention ne nécessitant pas l’intervention d’un conseil – pour des motifs juridiques, à savoir qu’elle n’était pas destinataire de la décision de l’autorité. Elle a néanmoins provoqué la procédure par son comportement qui demeure illicite sur le plan civil. Elle ne peut dès lors prétendre à une indemnité. En appel, l’appelante n’ayant obtenu que très partiellement gain de cause sur une question préjudicielle (consid. 6), sa culpabilité étant par ailleurs confirmée, l’indemnité sera arrêtée, ex aequo et bono, à 500 francs. 12. En définitive, les appels de Z.________ et du Ministère public doivent être rejetés et le jugement entrepris confirmé. Les deux parties succombant sur leurs conclusions d’appel, les frais de la procédure d’appel, constitués en l’espèce de l’émolument du présent jugement, par 4’000 fr. (art. 21 al. 1 TFIP [Tarif des frais de procédure et indemnités en matière pénale du 28 septembre 2010 ; BLV 312.03.1]), seront mis par quatre cinquièmes, soit à hauteur de 3’200 fr., à la charge de Z.________, l’objet de son appel étant plus étendu, le solde étant laissé à la charge de l’Etat. Conformément à l’art. 442 al. 4 CPP, l’indemnité due à l’appelante pour ses frais de défense en deuxième instance, par 500 fr., sera compensée avec les frais de justice de première instance, par 1’100 fr, et la part des frais de deuxième instance, mis à sa charge par 3’200 fr., le solde dû par l’appelante s’élevant à 3’800 francs.</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