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PE21.005969 vom 18. Dezember 2023</w:t>
      </w:r>
    </w:p>
    <w:p>
      <w:r>
        <w:t>VD Tribunal cantonal, 2023-12-18, FR</w:t>
      </w:r>
    </w:p>
    <w:p>
      <w:r>
        <w:rPr>
          <w:b/>
        </w:rPr>
        <w:t xml:space="preserve">Quelle: </w:t>
      </w:r>
      <w:r>
        <w:t>https://mcp.opencaselaw.ch/entscheid/vd_gerichte_PE21.005969</w:t>
      </w:r>
    </w:p>
    <w:p>
      <w:r>
        <w:t>FR: VD_GERICHTE PE21.005969 du 18 décembre 2023</w:t>
      </w:r>
    </w:p>
    <w:p>
      <w:r>
        <w:t>IT: VD_GERICHTE PE21.005969 del 18 dicembre 2023</w:t>
      </w:r>
    </w:p>
    <w:p>
      <w:pPr>
        <w:pStyle w:val="Heading2"/>
      </w:pPr>
      <w:r>
        <w:t>Volltext</w:t>
      </w:r>
    </w:p>
    <w:p>
      <w:r>
        <w:t>TRIBUNAL CANTONAL 1036 PE21.005969/DSO CHAMBRE DE S RECO URS PEN ALE __________________________________________ Arrêt du 18 décembre 2023 __________________ Composition : Mme BYRDE, présidente Mmes Fonjallaz et Elkaim, juges Greffier : M. Glauser ***** Art. 107 al. 2 LTF Statuant ensuite de l’arrêt de renvoi du Tribunal fédéral sur le recours interjeté le 25 novembre 2021 par Me H.________ pour E.________ contre le prononcé rendu le 12 novembre 2021 par le Tribunal de police de l’arrondissement de La Côte dans la cause n° PE21.005969/DSO, la Chambre des recours pénale considère : En fait : A. a) Par ordonnance pénale du 31 mars 2021, le Ministère public de l’arrondissement du Nord vaudois a déclaré « [...] » coupable de violation de domicile, d’empêchement d’accomplir un acte officiel et d’insoumission à une décision de l’autorité, l’a condamné à une peine 351</w:t>
      </w:r>
    </w:p>
    <w:p>
      <w:r>
        <w:t>- 2 - privative de liberté ferme de 90 jours sous déduction d’un jour de détention avant jugement, à une peine pécuniaire ferme de 15 jours- amende à 30 fr. le jour et à une amende de 600 fr. assortie d’une peine privative de liberté de substitution de 20 jours, et a mis les frais de procédure, par 300 fr., à sa charge. b) Par acte du 12 avril 2021, l’avocat H.________, déclarant agir pour Inconnu, matricule [...], a formé opposition contre cette ordonnance. Il a joint à cet acte une procuration par laquelle cet inconnu déclarait le mandater et qui contenait les annotations manuscrites « Yverdon » et « 07.04.21 », ainsi que la mention « [...] ». c) Par avis du 30 avril 2021 adressé à Me H.________, le Ministère public a indiqué qu’il considérait l’opposition et la procuration comme viciées dès lors qu’elles ne permettaient pas l’identification du prévenu et lui a imparti un délai au 12 mai 2021 pour réparer le vice. d) Le 12 mai 2021, Me H.________ a requis que le Ministère public prenne formellement acte de la nullité de l’ordonnance pénale ou, subsidiairement, de la validité de l’opposition. Il a sollicité l’accès au dossier et a notamment produit un courrier d’opposition du 7 mai 2021 au nom d’Inconnu matricule [...], muni de la mention manuscrite « [...] » et d’une empreinte digitale, accompagné d’une procuration datée du 6 mai 2021 contenant les annotations manuscrites « Genève » et la mention « [...] », ainsi qu’une empreinte digitale. e) Par avis du 25 mai 2021, le Ministère public a déclaré maintenir son ordonnance pénale et a transmis le dossier au Tribunal de police de l’arrondissement de La Côte. B. a) Invité à se prononcer sur la validité de la procuration et sur la question de la recevabilité, Me H.________ a déposé des déterminations le 8 juillet 2021, en concluant au constat de la nullité de l’ordonnance pénale ou à celui de la validité de l’opposition formée à son encontre.</w:t>
      </w:r>
    </w:p>
    <w:p>
      <w:r>
        <w:t>- 3 - b) Par prononcé du 12 novembre 2021, le Tribunal de police de l’arrondissement de La Côte a déclaré irrecevable l’opposition à l’ordonnance pénale du 31 mars 2021 formée le 12 avril 2021 par Me H.________, déclarant agir pour Inconnu matricule E.________[...] (I), a dit que l’ordonnance pénale rendue le 31 mars 2021 était exécutoire (II), a ordonné le retour du dossier au Ministère public de l’arrondissement du Nord vaudois (III) et a dit que sa décision était rendue sans frais (IV). Le tribunal a en substance considéré que l’ordonnance pénale n’était pas nulle car elle était dirigée contre une personne identifiable par ses empreintes digitales et son profil ADN notamment, que ces éléments étaient suffisants pour assurer, le cas échéant, l’exécution de la peine, et que le prévenu était seul responsable du fait que son identité n’était pas complète, ayant refusé de la donner sans motif valable. Il a en outre constaté que l’opposition de Me H.________ avait été déposée en temps utile le 12 avril 2021, mais que les courrier d’opposition et procurations déposées au nom d’« [...][...] » ne comportaient pas de signature permettant d’identifier son auteur, de sorte que l’opposition devait être déclarée irrecevable et l’ordonnance pénale exécutoire. C. a) Par acte du 25 novembre 2021, Me H.________, indiquant agir au nom et pour le compte d’« Inconnu, matricule E.________[...] », a recouru auprès de la Chambre de céans contre ce prononcé, en concluant principalement à sa réforme, en ce sens que la nullité de l’ordonnance pénale du 31 mars 2021 soit constatée. Subsidiairement, il a conclu à sa réforme, en ce sens que la validité de l’opposition du 12 avril 2021 soit constatée et le dossier de la cause renvoyé au Ministère public pour nouvelle décision au fond. En tout état de cause, il a conclu à ce que les frais de la procédure soient laissés à la charge de l’Etat et à l’octroi au prévenu d’une indemnité équitable à titre de dépens. Au pied de cet acte figurait l’indication suivante, suivie de la mention manuscrite « [...] » et d’une empreinte digitale : « Inconnu,</w:t>
      </w:r>
    </w:p>
    <w:p>
      <w:r>
        <w:t>- 4 - matricule n° E.________[...] : en apposant ma signature ainsi que mes empreintes digitales, je confirme, en tant que de besoin et une nouvelle fois, ma volonté d’être représenté par Me H.________, mon opposition à l’ordonnance pénale du 31 mars 2021, ma volonté d’être jugé par un tribunal indépendant et impartial. Je confirme également abonder dans le sens des conclusions formulées en-tête des présentes écritures et faire mienne l’intégralité des éléments qui s’y trouvent. ». b) Par arrêt du 7 décembre 2021 (no 1112), la Chambre des recours pénale a déclaré le recours irrecevable (I) et a mis les frais d’arrêt, par 1'320 fr., à la charge de Me H.________ (II). La Chambre de céans a en substance considéré que le recours n’était pas muni de la signature manuscrite de la partie visée par l’ordonnance pénale et qui prétendait avoir fait opposition à celle-ci, mais uniquement de la signature de l’avocat prétendant agir pour le compte de cette personne sans toutefois l’établir. Les signatures et empreintes digitales figurant sur les procurations produites ne permettaient par ailleurs pas d’identifier le prévenu. Compte tenu de l’irrecevabilité du recours pour le motif qui précède, la Chambre des recours pénale n’a pas examiné le grief tiré de la nullité de l’ordonnance pénale. Elle a en outre mis les frais de la cause à la charge de l’avocat, qui avait agi sans procuration valable. D. Par arrêt du 23 août 2023 (6B_429/2022 et 6B_436/2022), la lre Cour de droit pénal du Tribunal fédéral a partiellement admis les recours interjetés par l’avocat H.________ et E.________ contre l’arrêt de la Chambre des recours pénale et lui a renvoyé le dossier de la cause pour nouvelle décision. Le 30 octobre 2023, l’avocate Luana Roberto, agissant pour le compte de Me H.________, a déposé des déterminations et a conclu à l’admission du recours interjeté le 25 novembre 2021, à l’annulation du prononcé du</w:t>
      </w:r>
    </w:p>
    <w:p>
      <w:r>
        <w:t>- 5 - 12 novembre 2021, à ce que la validité de l’opposition, respectivement de la procuration qui lui était annexée soit constatée et au renvoi de la cause à l’autorité précédente ou au Ministère public pour nouvelle décision, les frais de procédure étant laissés à la charge de l’Etat et une indemnité équitable étant allouée au prévenu pour ses frais d’avocat. Le 30 octobre 2023, E.________, par son avocat Me H.________, a déposé des déterminations et a pris des conclusions identiques. Le 22 novembre 2023, le Ministère public a conclu à l’admission du recours et au renvoi de la cause à l’autorité de première instance pour traitement de l’opposition. Le 20 novembre 2023, le Président du tribunal de police a déclaré s’en remettre à justice, tout en soulignant que les parties recourantes n’obtenaient que partiellement gain de cause et devaient supporter une partie des frais de justice avec des dépens réduits.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w:t>
      </w:r>
    </w:p>
    <w:p>
      <w:r>
        <w:t>- 6 - ATF 143 IV 214 consid. 5.2.1 ; Aubry et al. [éd.], Commentaire de la LTF, 3e éd., Berne 2022, n. 31 ad art. 107 LTF). 2. 2.1 Dans une jurisprudence publiée aux ATF 149 IV 9 rendue dans le même contexte général, le Tribunal fédéral a précisé les exigences relatives au contenu d’une ordonnance pénale s’agissant de la désignation de la personne prévenue. Il a considéré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Dans d’autres causes s’inscrivant dans des circonstances parfaitement analogues au cas d’espèce (cf. TF 6B_429/2022 et 6B_436/2022 du 23 août 2023 consid. 7), toujours en se fondant sur sa jurisprudence publiée aux ATF 149 IV 9, le Tribunal fédéral a jugé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d'une part,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w:t>
      </w:r>
    </w:p>
    <w:p>
      <w:r>
        <w:t>- 7 -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2.2 Se référant à cette jurisprudence, dans son arrêt du 23 août 2023, le Tribunal fédéral a considéré qu'une ordonnance pénale comportant une désignation générique analogue à celle retenue dans le cas d’E.________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soit la validité de la procuration, aboutissaient à une violation de la prohibition du formalisme excessif et de la garantie d’accès au juge. 2.3 En l’espèce, en vertu de l’autorité de renvoi de l’arrêt du Tribunal fédéral, force est de constater que la Cour de céans ne pouvait pas déclarer irrecevable le recours déposé par Me H.________ au motif qu’il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 qui y était désigné comme dans l’ordonnance pénale. Il s’ensuit que le recours s’avère en définitive recevable et bien fondé.</w:t>
      </w:r>
    </w:p>
    <w:p>
      <w:r>
        <w:t>- 8 - 3. 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du recourant, qui obtient entièrement gain de cause sur l’une de ses conclusions alternatives. Le recourant, qui obtient gain de cause et qui a procédé avec l’assistance d’un avocat de choix, a droit à une indemnité pour les dépenses occasionnées par l’exercice raisonnable de ses droits pour la procédure antérieure et ultérieure à l’arrêt du Tribunal fédéral. Au vu du mémoire déposé, des déterminations et de la nature de l’affaire, l’indemnité sera fixée à 1’500 fr., sur la base de 5 heures d’activité nécessaire d’avocat au tarif horaire de 300 fr. (art. 26a al. 3 TFIP). Il faut y ajouter 2 % pour les débours forfaitaires (art. 19 al. 2 TDC [tarif des dépens en matière civile du 23 novembre 2010 ; BLV 270.11.6]), applicable par renvoi de l’art. 26a al. 6 TFIP), soit 30 fr., et la TVA de 7,7 % sur le tout, soit 117 fr. 80, ce qui correspond à la somme totale de 1’648 fr. en chiffres arrondis. Cette indemnité sera mise à la charge de l’Etat et versée à Me H.________ pour le compte d’E.________, puisque dite indemnité ne peut lui être versée directement. Me H.________, qui n’était pas concerné personnellement par la procédure antérieure à l’arrêt du Tribunal fédéral mais qui a agi par l’intermédiaire d’un avocat de choix pour la procédure ultérieure, n’a pas droit à une indemnité pour les déterminations déposées par Me Luana Roberto, dès lors qu’une telle indemnité n’a pas été requise.</w:t>
      </w:r>
    </w:p>
    <w:p>
      <w:r>
        <w:t>- 9 -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880 fr. (huit cent huitante francs), sont laissés à la charge de l’Etat. V. Une indemnité de 1’648 fr. (mille six cent quarante-huit francs) est allouée à Me H.________ pour E.________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Luana Roberto, avocate (pour Me H.________), - Me H.________, avocat (pour E.________), - Ministère public central, et communiqué à : - M. le Président du Tribunal de police de l’arrondissement de La Côte, - M. le Procureur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