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PE21.005865 vom 24. März 2023</w:t>
      </w:r>
    </w:p>
    <w:p>
      <w:r>
        <w:t>VD Tribunal cantonal, 2023-03-24, FR</w:t>
      </w:r>
    </w:p>
    <w:p>
      <w:r>
        <w:rPr>
          <w:b/>
        </w:rPr>
        <w:t xml:space="preserve">Quelle: </w:t>
      </w:r>
      <w:r>
        <w:t>https://mcp.opencaselaw.ch/entscheid/vd_gerichte_PE21.005865</w:t>
      </w:r>
    </w:p>
    <w:p>
      <w:r>
        <w:t>FR: VD_GERICHTE PE21.005865 du 24 mars 2023</w:t>
      </w:r>
    </w:p>
    <w:p>
      <w:r>
        <w:t>IT: VD_GERICHTE PE21.005865 del 24 marzo 2023</w:t>
      </w:r>
    </w:p>
    <w:p>
      <w:pPr>
        <w:pStyle w:val="Heading2"/>
      </w:pPr>
      <w:r>
        <w:t>Erwägungen</w:t>
      </w:r>
    </w:p>
    <w:p>
      <w:r>
        <w:rPr>
          <w:b/>
        </w:rPr>
        <w:t>E. 6</w:t>
      </w:r>
    </w:p>
    <w:p>
      <w:r>
        <w:t>Il résulte de ce qui précède que l’appel d’L.________ doit être rejeté et celui du Ministère public partiellement admis, le jugement entrepris étant réformé dans le sens des considérants. Sur la base de la liste d’opérations produite par Me Philippe Oguey (P. 44), faisant état d’une durée de travail de 10h15, ce qui peut être admis, c’est une indemnité d’office de 2’156 fr. 05, correspondant à</w:t>
      </w:r>
    </w:p>
    <w:p>
      <w:r>
        <w:t>- 26 - des honoraires de 1’845 fr., plus des débours forfaitaires de 2 %, par 36 fr. 90, une vacation, par 120 fr., et la TVA de 7.7 % sur le tout, par 154 fr. 15, qui lui sera allouée pour la procédure d’appel. Vu l’issue de la cause, les frais de la procédure d’appel, par 4'426 fr. 05, constitués de l’émolument de jugement et d’audience, par 2’270 fr. (art. 21 al. 1 et 2 TFIP [Tarif des frais de procédure et indemnités en matière pénale du 28 septembre 2010 ; BLV 312.03.1]), et de l'indemnité du défenseur d'office de l'appelant, par 2’156 fr. 05, sont mis à la charge d’L.________, qui succombe (art. 428 al. 1, 1re phrase, CPP). L.________ ne sera tenu de rembourser à l’Etat le montant de l’indemnité en faveur de son défenseur d’office que lorsque sa situation financière le permet.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