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PE21.005724 vom 21. September 2021</w:t>
      </w:r>
    </w:p>
    <w:p>
      <w:r>
        <w:t>VD Tribunal cantonal, 2021-09-21, FR</w:t>
      </w:r>
    </w:p>
    <w:p>
      <w:r>
        <w:rPr>
          <w:b/>
        </w:rPr>
        <w:t xml:space="preserve">Quelle: </w:t>
      </w:r>
      <w:r>
        <w:t>https://mcp.opencaselaw.ch/entscheid/vd_gerichte_PE21.005724</w:t>
      </w:r>
    </w:p>
    <w:p>
      <w:r>
        <w:t>FR: VD_GERICHTE PE21.005724 du 21 septembre 2021</w:t>
      </w:r>
    </w:p>
    <w:p>
      <w:r>
        <w:t>IT: VD_GERICHTE PE21.005724 del 21 settembre 2021</w:t>
      </w:r>
    </w:p>
    <w:p>
      <w:pPr>
        <w:pStyle w:val="Heading2"/>
      </w:pPr>
      <w:r>
        <w:t>Erwägungen</w:t>
      </w:r>
    </w:p>
    <w:p>
      <w:r>
        <w:rPr>
          <w:b/>
        </w:rPr>
        <w:t>E. 8</w:t>
      </w:r>
    </w:p>
    <w:p>
      <w:r>
        <w:t>mars 2004 et qu’elle avait été reconnue par celui-ci comme victime au sens de l’art. 2 al. 1 LAVI (Loi sur l’aide aux victimes du 23 mars 2007 ; RS 312.5) au motif qu’elle « avait été victime de violence physique de la part de son mari à deux reprises » (P. 7/3). Selon une</w:t>
      </w:r>
    </w:p>
    <w:p>
      <w:r>
        <w:t>- 23 - très grande vraisemblance, l’ouverture d’une instruction n’aboutirait donc pas à une condamnation, puisqu’en sus des éléments retenus plus haut à cet égard, un témoin corroborerait les dires du prévenu, notamment au sujet de sa bonne foi. 4.4 Ainsi, c'est à juste titre que la procureure a refusé d'entrer en matière sur la plainte de X.________. 5. Il résulte de ce qui précède que le recours, manifestement mal fondé, doit être rejeté sans échange d'écritures (art. 390 al. 2 CPP) et l'ordonnance du 14 juin 2021 confirmée. Les frais de la procédure de recours, constitués en l’espèce du seul émolument d'arrêt, par 2’310 fr. (art. 20 al. 1 TFIP [tarif des frais judiciaires et indemnités en matière pénale ; BLV 312.03.1]), seront mis à la charge du recourant, qui succombe (art. 428 al. 1 CPP). Il est enfin précisé qu’à ce stade, Y.________ ne participe pas à la procédure et que c’est à tort que le Ministère public lui a communiqué une copie de l’ordonnance attaquée. Compte tenu de cette communication préalable, une copie du présent arrêt sera tout de même adressée à ce dernier. Par ces motifs, la Chambre des recours pénale prononce : I. Le recours est rejeté. II. L’ordonnance du 14 juin 2021 est confirmée. III. Les frais de la procédure de recours, par 2'310 fr. (deux mille trois cent dix francs), sont mis à la charge de X.________.</w:t>
      </w:r>
    </w:p>
    <w:p>
      <w:r>
        <w:t>- 24 - IV. L’arrêt est exécutoire. Le président : La greffière : Du Le présent arrêt, dont la rédaction a été approuvée à huis clos, est notifié, par l'envoi d'une copie complète, à : - Me Julie Hautdidier-Locca, avocate (pour X.________), - Ministère public central, et communiqué à : - Me Leslie La Sala, avocate (pour Y.________),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