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PE21.005009 vom 25. April 2021</w:t>
      </w:r>
    </w:p>
    <w:p>
      <w:r>
        <w:t>VD Tribunal cantonal, 2021-04-25, FR</w:t>
      </w:r>
    </w:p>
    <w:p>
      <w:r>
        <w:rPr>
          <w:b/>
        </w:rPr>
        <w:t xml:space="preserve">Quelle: </w:t>
      </w:r>
      <w:r>
        <w:t>https://mcp.opencaselaw.ch/entscheid/vd_gerichte_PE21.005009</w:t>
      </w:r>
    </w:p>
    <w:p>
      <w:r>
        <w:t>FR: VD_GERICHTE PE21.005009 du 25 avril 2021</w:t>
      </w:r>
    </w:p>
    <w:p>
      <w:r>
        <w:t>IT: VD_GERICHTE PE21.005009 del 25 aprile 2021</w:t>
      </w:r>
    </w:p>
    <w:p>
      <w:pPr>
        <w:pStyle w:val="Heading2"/>
      </w:pPr>
      <w:r>
        <w:t>Erwägungen</w:t>
      </w:r>
    </w:p>
    <w:p>
      <w:r>
        <w:rPr>
          <w:b/>
        </w:rPr>
        <w:t>E. 14</w:t>
      </w:r>
    </w:p>
    <w:p>
      <w:r>
        <w:t>octobre 2020, le Domaine Q.________, par son conseil Me Alain Alberini, avait confirmé qu’il refusait que le CSCV procède au contrôle réglementaire des livres et des caves. Le dossier a été transmis à la Préfecture du district de Lavaux- Oron, qui a ouvert une enquête pénale sous le numéro de référence LAO/01/21/0000104. Par ordonnance pénale du 15 janvier 2021, le Préfet du district de Lavaux-Oron a constaté que, pour avoir refusé le contrôle réglementaire des livres et des caves qui doit être effectué par le CSCV selon l’art. 36 al. 1 de l’Ordonnance sur le vin, Q.________, né le [...] 1945 à</w:t>
      </w:r>
    </w:p>
    <w:p>
      <w:r>
        <w:t>- 4 - Lausanne,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actes des 21 et 22 janvier 2021, Q.________, personnellement, puis par son conseil Me Alain Alberini, a déclaré former opposition contre cette ordonnance. c) Par acte du 3 décembre 2020, la Confédération suisse, par le CSCV, a déposé plainte pénale auprès du Ministère public du canton de Vaud contre W.________, à [...]. Cet acte relevait que, par courrier du 26 juin 2020, W.________ avait informé le CSCV qu’il refusait le contrôle réglementaire des livres et des caves prévu par l’art. 34b de l’Ordonnance sur le vin, que par courrier du 21 juillet 2020, ce service lui avait rappelé qu’il exerçait ses obligations de contrôle en application des art. 33 ss de l’Ordonnance sur le vin, qu’un délai au 31 août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W.________, par son conseil Me Alain Alberini, avait confirmé qu’il refusait que le CSCV procède au contrôle réglementaire des livres et des caves. Le dossier a été transmis à la Préfecture du district de Lavaux- Oron, qui a ouvert une enquête pénale sous le numéro de référence LAO/01/21/0000101. Par ordonnance pénale du 15 janvier 2021, le Préfet du district de Lavaux-Oron a constaté que, pour avoir refusé le contrôle réglementaire des livres et des caves qui doit être effectué par le CSCV selon l’art. 36 al. 1 de l’Ordonnance sur le vin, W.________, né le [...] 1968 à Lausanne, avait violé les art. 34 al. 1, 34a al. 1 et 34e de cette ordonnance et s’était donc rendu coupable d’infraction à la LAgr (I), l’a condamné à</w:t>
      </w:r>
    </w:p>
    <w:p>
      <w:r>
        <w:t>- 5 - une amende de 500 fr. (II), a dit qu’à défaut de paiement de l’amende, la peine privative de liberté de substitution serait de cinq jours (III), et a mis les frais, par 60 fr., à sa charge (IV). Par acte du 22 janvier 2021, W.________, par son conseil Me Alain Alberini, a déclaré former opposition contre cette ordonnance. d) Par acte du 3 décembre 2020, la Confédération suisse, par le CSCV, a déposé plainte pénale auprès du Ministère public du canton de Vaud contre le Domaine de la [...] H.________, à [...]. Cet acte relevait que, par courrier du 24 janvier 2020, le Domaine de la [...] H.________ avait informé l’OFAG qu’il refusait le contrôle réglementaire des livres et des caves prévu par l’art. 34b de l’Ordonnance sur le vin, que par courrier du 10 septembre 2020, le CSCV lui avait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le Domaine de la [...] H.________, par son conseil Me Alain Alberini, avait confirmé qu’il refusait que ce service procède au contrôle réglementaire des livres et des caves. Le dossier a été transmis à la Préfecture du district de Lavaux- Oron, qui a ouvert une enquête pénale sous le numéro de référence LAO/01/21/0000115. Par ordonnance pénale du 15 janvier 2021, le Préfet du district de Lavaux-Oron a constaté que, pour avoir refusé le contrôle réglementaire des livres et des caves qui doit être effectué par le CSCV selon l’art. 36 al. 1 de l’Ordonnance sur le vin, H.________, né le [...] 1960 à Lausanne, avait violé les art. 34 al. 1, 34a al. 1 et 34e de cette ordonnance et s’était donc rendu coupable d’infraction à la LAgr (I), l’a condamné à une amende de 500 fr. (II), a dit qu’à défaut de paiement de l’amende, la</w:t>
      </w:r>
    </w:p>
    <w:p>
      <w:r>
        <w:t>- 6 - peine privative de liberté de substitution serait de cinq jours (III), et a mis les frais, par 60 fr., à sa charge (IV). Par acte du 22 janvier 2021, H.________, par son conseil Me Alain Alberini, a déclaré former opposition contre cette ordonnance. e) Par acte du 3 décembre 2020, la Confédération suisse, par le CSCV, a déposé plainte pénale auprès du Ministère public du canton de Vaud contre A.R.________, à [...]. Cet acte relevait que, par courrier du [28] janvier 2020, A.R.________ avait informé l’OFAG qu’il refusait le contrôle réglementaire des livres et des caves prévu par l’art. 34b de l’Ordonnance sur le vin, que par courrier du 10 septembre 2020, le CSCV lui avait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A.R.________, par son conseil Me Alain Alberini, avait confirmé qu’il refusait que ce service procède au contrôle réglementaire des livres et des caves. Le dossier a été transmis à la Préfecture du district de Lavaux- Oron, qui a ouvert une enquête pénale sous le numéro de référence LAO/01/21/0000114. Par ordonnance pénale du 15 janvier 2021, le Préfet du district de Lavaux-Oron a constaté que, pour avoir refusé le contrôle réglementaire des livres et des caves qui doit être effectué par le CSCV selon l’art. 36 al. 1 de l’Ordonnance sur le vin, A.R.________, né le [...] 1988 à Lausanne,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w:t>
      </w:r>
    </w:p>
    <w:p>
      <w:r>
        <w:t>- 7 - Par acte du 22 janvier 2021, A.R.________, par son conseil Me Alain Alberini, a déclaré former opposition contre cette ordonnance. f) Par acte du 3 décembre 2020, la Confédération suisse, par le CSCV, a déposé plainte pénale auprès du Ministère public du canton de Vaud contre B.R.________, à [...], au motif que celui-ci l’avait informé, par courrier du 31 août 2020, qu’il refusait le contrôle réglementaire des livres et des caves par ce service. Le dossier a été transmis à la Préfecture du district de Lavaux- Oron, qui a ouvert une enquête pénale sous le numéro de référence LAO/01/21/0000106. Par ordonnance pénale du 15 janvier 2021, le Préfet du district de Lavaux-Oron a constaté que, pour avoir refusé le contrôle réglementaire des livres et des caves qui doit être effectué par le CSCV selon l’art. 36 al. 1 de l’Ordonnance sur le vin, B.R.________, né le [...] 1962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B.R.________, par son conseil Me Alain Alberini, a déclaré former opposition contre cette ordonnance. g) Par acte du 3 décembre 2020, la Confédération suisse, par le CSCV, a déposé plainte pénale auprès du Ministère public du canton de Vaud contre le Domaine de [...] G.________, à [...]. Cet acte relevait que, par courrier du 4 février 2020, le Domaine de [...] G.________ avait informé l’OFAG qu’il refusait le contrôle réglementaire des livres et des caves prévu par l’art. 34b de l’Ordonnance sur le vin, que par courrier du 10 septembre 2020, le CSCV lui avait rappelé qu’il exerçait ses obligations de contrôle en application des art. 33 ss de l’Ordonnance sur le vin, qu’un délai au 15 octobre 2020 lui était imparti pour préciser s’il acceptait</w:t>
      </w:r>
    </w:p>
    <w:p>
      <w:r>
        <w:t>- 8 - dorénavant ledit contrôle et que, dans la négative, il serait dans l’obligation de prendre les mesures prévues par les art. 169 ss LAgr, soit administratives (art. 169 LAgr) et pénales (art. 173 al. 1 let. f LAgr), et que, par courrier du 14 octobre 2020, le Domaine de [...] G.________, par son conseil Me Alain Alberini, avait confirmé qu’il refusait que ce service procède au contrôle réglementaire des livres et des caves. Le dossier a été transmis à la Préfecture du district de Lavaux- Oron, qui a ouvert une enquête pénale sous le numéro de référence LAO/01/21/0000113. Par ordonnance pénale du 15 janvier 2021, le Préfet du district de Lavaux-Oron a constaté que, pour avoir refusé le contrôle réglementaire des livres et des caves qui doit être effectué par le CSCV selon l’art. 36 al. 1 de l’Ordonnance sur le vin, G.________, né le [...] 1962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G.________, par son conseil Me Alain Alberini, a déclaré former opposition contre cette ordonnance. h) Par acte du 3 décembre 2020, la Confédération suisse, par le CSCV, a déposé plainte pénale auprès du Ministère public du canton de Vaud contre [...] D.________, à [...]. Cet acte relevait que, par courrier du</w:t>
      </w:r>
    </w:p>
    <w:p>
      <w:r>
        <w:rPr>
          <w:b/>
        </w:rPr>
        <w:t>E. 17</w:t>
      </w:r>
    </w:p>
    <w:p>
      <w:r>
        <w:t>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w:t>
      </w:r>
    </w:p>
    <w:p>
      <w:r>
        <w:t>- 23 - 3. 3.1 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Les recourants en déduisent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w:t>
      </w:r>
    </w:p>
    <w:p>
      <w:r>
        <w:t>- 24 - in : Zürcher Kommentar StPO, op. cit., n. 16 ad art. 393 StPO ; Stephenson/Thiriet, in : Niggli/Heer/Wiprächtiger [éd.], Basler Kommentar, Schweizerische Strafprozess-ordnung, Jugendstrafprozessordnung, 2e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 3.2.2 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w:t>
      </w:r>
    </w:p>
    <w:p>
      <w:r>
        <w:t>- 25 - (TF 1B_524/2020 du 28 décembre 2020 consid. 2.3 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 3.3 3.3.1 En l’espèce, ce qui a été dit plus haut (cf. consid. 2.2.1 supra) au sujet du défaut d’intérêt de recourir des parties contre un refus de suspension (en raison de leur absence d’intérêt juridique actuel et concret du fait qu’elles bénéficient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w:t>
      </w:r>
    </w:p>
    <w:p>
      <w:r>
        <w:t>- 26 -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w:t>
      </w:r>
    </w:p>
    <w:p>
      <w:r>
        <w:t>- 27 - contraventions commises dans un for aux autorités d’un autre for, d’autre part. 3.3.2 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chacun d’eux a en outre forcément une comptabilité de cave, des comptabilités financière et d’exploitation, des locaux commerciaux et d’entreposage, des inventaires, des documents utiles au contrôle, etc. différents de chacun des autres prévenus du même district. Sous l’angle des faits, l’instruction devra donc être individualisée. Il en ira également de même des circonstances à prendre en compte pour fixer l’éventuelle amende, dont la culpabilité de l’auteur, qui dépend elle- 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2e éd. 2021, n. 6 ad art. 106 CP et les références citées).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 dans leur intérêt puisque, dès la jonction, les autres prévenus auraient accès à tout le dossier, donc notamment aux éléments qui concernent leur situation personnelle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w:t>
      </w:r>
    </w:p>
    <w:p>
      <w:r>
        <w:t>- 28 -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 manière manifestement mal fondé, doit être rejeté sans échange d’écritures (art. 390 al. 2 CPP), et la décision entreprise confirmée. Vu le sort du recours, les frais de la procédure, constitués en l’espèce du seul émolument d'arrêt, par 2’340 fr. (art. 20 al. 1 TFIP [Tarif des frais judiciaires et indemnités en matière pénale du 28 septembre 2010 ; BLV 312.03.1]), seront mis à la charge des recourants, qui succombent (art. 428 al. 1 CPP), solidairement entre eux (art. 418 al. 2 CPP).</w:t>
      </w:r>
    </w:p>
    <w:p>
      <w:r>
        <w:t>- 29 - Par ces motifs, la juge unique prononce : I. Les causes nos LAO/01/21/0000101, LAO/01/21/0000102, LAO/01/21/ 0000104, LAO/01/21/0000106, LAO/01/21/0000108, LAO/01/21/ 0000109, LAO/01/21/0000110, LAO/01/21/0000112, LAO/01/21/ 0000113, LAO/01/21/0000114, LAO/01/21/0000115, LAO/01/21/ 0000116 et LAO/01/21/0000117 sont jointes devant l’autorité de recours. II. Le recours est rejeté dans la mesure de sa faible recevabilité. III. La décision du 5 mars 2021 est confirmée. IV. Les frais d’arrêt, par 2’340 fr. (deux mille trois cent quarante francs), sont mis à la charge de F.________, Q.________, W.________, H.________, A.R.________, B.R.________, G.________, D.________, M.________, X.________, E.________, J.V.________ et K.V.________, solidairement entre eux. V. L’arrêt est exécutoire. La juge unique : La greffière : Du Le présent arrêt, dont la rédaction a été approuvée à huis clos, est notifié, par l'envoi d'une copie complète, à : - Me Alain Alberini, avocat (pour F.________, Q.________, W.________, H.________, A.R.________, B.R.________, G.________, D.________, M.________, X.________, E.________, J.V.________ et K.V.________), - Ministère public central,</w:t>
      </w:r>
    </w:p>
    <w:p>
      <w:r>
        <w:t>- 30 - et communiqué à : - M. le Préfet du district de Lavaux-Oron,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