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PE21.004899 vom 27. August 2021</w:t>
      </w:r>
    </w:p>
    <w:p>
      <w:r>
        <w:t>VD Tribunal cantonal, 2021-08-27, FR</w:t>
      </w:r>
    </w:p>
    <w:p>
      <w:r>
        <w:rPr>
          <w:b/>
        </w:rPr>
        <w:t xml:space="preserve">Quelle: </w:t>
      </w:r>
      <w:r>
        <w:t>https://mcp.opencaselaw.ch/entscheid/vd_gerichte_PE21.004899</w:t>
      </w:r>
    </w:p>
    <w:p>
      <w:r>
        <w:t>FR: VD_GERICHTE PE21.004899 du 27 août 2021</w:t>
      </w:r>
    </w:p>
    <w:p>
      <w:r>
        <w:t>IT: VD_GERICHTE PE21.004899 del 27 agosto 2021</w:t>
      </w:r>
    </w:p>
    <w:p>
      <w:pPr>
        <w:pStyle w:val="Heading2"/>
      </w:pPr>
      <w:r>
        <w:t>Erwägungen</w:t>
      </w:r>
    </w:p>
    <w:p>
      <w:r>
        <w:rPr>
          <w:b/>
        </w:rPr>
        <w:t>E. 4.1</w:t>
      </w:r>
    </w:p>
    <w:p>
      <w:r>
        <w:t>Se rend coupable de contrainte selon l’art. 181 CP celui qui, en usant de violence envers une personne ou en la menaçant d’un dommage sérieux, ou en l’entravant de quelque manière dans sa liberté d’action, l’aura obligée à faire, ne pas faire ou à laisser faire un acte ; il sera puni d’une peine privative de liberté de trois ans au plus ou d’une peine pécuniaire. Le bien juridique protégé par cette disposition est la liberté d’action, plus particulièrement la libre formation et le libre exercice de la volonté (ATF 141 IV 1 consid. 3.3.1 et références).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et d’action (ATF 120 IV 17 consid. 2a/aa). La question doit être tranchée en fonction de critères objectifs, en se plaçant du point de vue d’une personne de sensibilité moyenne (ATF 122 IV 322 consid. 1a ; ATF 120 IV 17 consid. 2a/aa). Il peut également y avoir contrainte lorsque l’auteur entrave sa victime « de quelque autre manière » dans sa liberté d’action. Cette formule générale doit être interprétée de manière restrictive. N’importe</w:t>
      </w:r>
    </w:p>
    <w:p>
      <w:r>
        <w:t>- 10 -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précité ; ATF 137 IV 326 précité ; TF 6B_153/2017 du 28 novembre 2017 consid. 3.1). Dans un arrêt récent, le Tribunal fédéral a considéré que le fait de menacer de renvoi une personne récemment arrivée en Suisse constituait une menace sérieuse (cf. TF 6B_358/2021 du 15 septembre 2021 consid. 3.3.1). Sur le plan subjectif, il faut que l'auteur ait agi intentionnellement, c'est-à-dire qu'il ait voulu contraindre la victime à adopter le comportement visé en étant conscient de l'illicéité de son comportement ; le dol éventuel suffit (ATF 120 IV 17 précité consid. 2c).</w:t>
      </w:r>
    </w:p>
    <w:p>
      <w:r>
        <w:rPr>
          <w:b/>
        </w:rPr>
        <w:t>E. 4.2</w:t>
      </w:r>
    </w:p>
    <w:p>
      <w:r>
        <w:t>En l’occurrence, en juillet 2020 et en février 2021 Z.________ n’a pas laissé son épouse rentrer dans l’appartement après 22 heures car il n’appréciait pas qu’elle rentre à cette heure-ci. S’agissant de l’évènement du 8 mars 2021, le prévenu a laissé son épouse enfermée dans l’appartement conjugal, afin qu’il puisse vérifier le contenu du téléphone portable de sa conjointe. Par ailleurs, il ressort des déclarations de L.________ que Z.________ lui disait de suivre ses instructions et que dans le cas contraire, il allait faire en sorte de l’expulser de Suisse. Ainsi, les éléments de la contrainte sont manifestement réunis. En effet, par ses actes et ses paroles, le prévenu a entravé son épouse dans le libre choix de ses actions, soit en particulier d’avoir une vie sociale. Par ailleurs, le</w:t>
      </w:r>
    </w:p>
    <w:p>
      <w:r>
        <w:t>- 11 - critère de la menace d’un dommage sérieux est réalisé, puisqu’il est évident que L.________, qui est arrivée en Suisse en 2019, a eu peur que son mari ne mette à exécution ses menaces et la fasse renvoyer en RDC (cf. consid. 4.1 in fine supra). Il ne pouvait échapper à l’appelant, doué de conscience et de volonté, que le contrôle qu’il exerçait sur la vie de son épouse, associé aux menaces d’un renvoi vers son pays d’origine entravaient sa liberté d’action, si bien que l’élément subjectif défini par l’art. 181 CP est également réalisé. Au vu de ce qui précède, la condamnation de Z.________ s’agissant du chef d’accusation de contrainte ne prête pas le flanc à la critique.</w:t>
      </w:r>
    </w:p>
    <w:p>
      <w:r>
        <w:rPr>
          <w:b/>
        </w:rPr>
        <w:t>E. 4.2.1</w:t>
      </w:r>
    </w:p>
    <w:p>
      <w:r>
        <w:t>; TF 6B_805/2020 du 15 juillet 2020 consid. 2.2 ; TF 6B_317/2020 du 1er juillet 2020 consid. 4.1). Le juge dispose d'un large pouvoir d'appréciation en la matière (ATF 145 IV 137 consid. 2.2 ; ATF 135 IV 180 consid. 2.1 ; ATF 134 IV 1 consid. 5.2 ; TF 6B_392/2016 du 10 novembre 2016).</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6B_776/2020 du 5 mai 2021, destiné à la</w:t>
      </w:r>
    </w:p>
    <w:p>
      <w:r>
        <w:t>- 12 - publication, consid. 4.1 ; TF 6B_757/2020 du 4 novembre 2020 consid. 3.1.1).</w:t>
      </w:r>
    </w:p>
    <w:p>
      <w:r>
        <w:rPr>
          <w:b/>
        </w:rPr>
        <w:t>E. 5.2</w:t>
      </w:r>
    </w:p>
    <w:p>
      <w:r>
        <w:t>Selon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w:t>
      </w:r>
    </w:p>
    <w:p>
      <w:r>
        <w:rPr>
          <w:b/>
        </w:rPr>
        <w:t>E. 5.3</w:t>
      </w:r>
    </w:p>
    <w:p>
      <w:r>
        <w:t>L’appelant, qui conclut à son acquittement, ne conteste pas la peine en tant que telle. Vérifiée d’office, la peine pécuniaire de 90 jours- amende à 30 fr. le jour infligée par le premier juge, fixée en application des critères légaux à charge et à décharge (cf. jugement attaqué p. 10) et conformément à la culpabilité de Z.________, sanctionne adéquatement le comportement du prévenu. Cette peine doit être confirmée. L’octroi du</w:t>
      </w:r>
    </w:p>
    <w:p>
      <w:r>
        <w:t>- 13 - sursis et le délai d’épreuve de trois ans ne prêtent pas le flanc à la critique.</w:t>
      </w:r>
    </w:p>
    <w:p>
      <w:r>
        <w:rPr>
          <w:b/>
        </w:rPr>
        <w:t>E. 6</w:t>
      </w:r>
    </w:p>
    <w:p>
      <w:r>
        <w:t>Au vu de ce qui précède, l'appel de Z.________ doit être rejeté et le jugement entrepris confirmé. Vu l’issue de l’appel, les frais d’appel, par 1’210 fr. (art. 21 al. 1 et 2 TFIP [Tarif des frais de procédure et indemnités en matière pénale du 28 septembre 2010; BLV 312.03.1]), seront mis à la charge de l’appelant, qui succombe entièrement (art. 428 al. 1, 1re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