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PE21.004794 vom 16. Juli 2021</w:t>
      </w:r>
    </w:p>
    <w:p>
      <w:r>
        <w:t>VD Tribunal cantonal, 2021-07-16, FR</w:t>
      </w:r>
    </w:p>
    <w:p>
      <w:r>
        <w:rPr>
          <w:b/>
        </w:rPr>
        <w:t xml:space="preserve">Quelle: </w:t>
      </w:r>
      <w:r>
        <w:t>https://mcp.opencaselaw.ch/entscheid/vd_gerichte_PE21.004794</w:t>
      </w:r>
    </w:p>
    <w:p>
      <w:r>
        <w:t>FR: VD_GERICHTE PE21.004794 du 16 juillet 2021</w:t>
      </w:r>
    </w:p>
    <w:p>
      <w:r>
        <w:t>IT: VD_GERICHTE PE21.004794 del 16 luglio 2021</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w:t>
      </w:r>
    </w:p>
    <w:p>
      <w:r>
        <w:t>- 6 - let. c CPP), par un détenu qui a la qualité pour recourir (art.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2e éd., Bâle 2019, nn. 4 ss ad art. 221 CPP).</w:t>
      </w:r>
    </w:p>
    <w:p>
      <w:r>
        <w:rPr>
          <w:b/>
        </w:rPr>
        <w:t>E. 2.2</w:t>
      </w:r>
    </w:p>
    <w:p>
      <w:r>
        <w:t>Le recourant ne conteste pas l’existence de soupçons suffisants. A cet égard, c’est à juste titre que le premier juge a retenu qu'il existait des indices suffisamment sérieux de culpabilité à l'encontre du prévenu, celui-ci ayant admis les faits qui lui sont reprochés lors de son audition d’arrestation.</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w:t>
      </w:r>
    </w:p>
    <w:p>
      <w:r>
        <w:t>- 7 -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3.2</w:t>
      </w:r>
    </w:p>
    <w:p>
      <w:r>
        <w:t>En l’espèce, le recourant, ressortissant algérien arrivé en Suisse en novembre 2020 et sans attache dans notre pays, présente à l’évidence un risque de fuite. Effectivement, l’on ne peut que craindre qu’il quitte le pays ou entre en clandestinité pour se soustraire à la peine encourue. Il s’ensuit que le risque de fuite, au demeurant non contesté en tant que tel par le recourant, est réalisé.</w:t>
      </w:r>
    </w:p>
    <w:p>
      <w:r>
        <w:rPr>
          <w:b/>
        </w:rPr>
        <w:t>E. 4.1</w:t>
      </w:r>
    </w:p>
    <w:p>
      <w:r>
        <w:t>Le recourant conteste le risque de collusion retenu. Il considère que ce risque est théorique et qu’il pourrait dans tous les cas être prévenu par d’autres mesures de substitution. À ce titre, il demande à ce qu’il puisse être transféré en exécution de peine pour purger le solde de sa peine au motif qu’il aurait tout expliqué, que ses deux comparses, encore en liberté, se douteraient bien de son arrestation et qu’il pourrait lui être interdit tout contact avec les deux intéressés.</w:t>
      </w:r>
    </w:p>
    <w:p>
      <w:r>
        <w:rPr>
          <w:b/>
        </w:rPr>
        <w:t>E. 4.2</w:t>
      </w:r>
    </w:p>
    <w:p>
      <w:r>
        <w:t>; ATF 132 I 21 consid. 3.2 et réf. cit.). Plus l'instruction se trouve à un stade avancé et les faits sont établis avec précision, plus les exigences relatives à la preuve de l'existence d’un risque de collusion sont élevées (ATF 137 IV 122 consid. 4.2 ; ATF 132 I 21 consid. 3.2.2 ; TF 1B_577/2020 du 2 décembre 2020 consid. 3.1).</w:t>
      </w:r>
    </w:p>
    <w:p>
      <w:r>
        <w:rPr>
          <w:b/>
        </w:rPr>
        <w:t>E. 4.2.1</w:t>
      </w:r>
    </w:p>
    <w:p>
      <w:r>
        <w:t>Selon l’art. 221 al. 1 let. b CPP, la détention provisoire peut notamment être ordonnée lorsqu'il y a sérieusement lieu de craindre que le prévenu compromette la recherche de la vérité en exerçant une influence sur des personnes ou en altérant des moyens de preuves. Le motif de détention pour risque de collusion est réalisé lorsqu'il y a sérieusement à craindre que le prévenu compromette la recherche de la vérité en exerçant une influence sur des personnes ou en</w:t>
      </w:r>
    </w:p>
    <w:p>
      <w:r>
        <w:t>- 8 - altérant des moyens de preuve (art. 221 al. 1 let. b CPP). L'influence sur les coprévenus, les témoins, les victimes ou les experts peut s'exercer au moyen de la promesse d'avantages (subornation de témoins) ou au moyen de mesures d'intimidation (menace sur des témoins);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op. cit., n. 13 ad art. 221 CPP;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w:t>
      </w:r>
    </w:p>
    <w:p>
      <w:r>
        <w:rPr>
          <w:b/>
        </w:rPr>
        <w:t>E. 4.2.2</w:t>
      </w:r>
    </w:p>
    <w:p>
      <w:r>
        <w:t>Conformément au principe de la proportionnalité (art. 36 al. 3 Cst. ; pour la procédure pénale, cf. art. 197 al. 1 let. c CPP), il convient d'examiner les possibilités de mettre en œuvre d'autres solutions</w:t>
      </w:r>
    </w:p>
    <w:p>
      <w:r>
        <w:t>- 9 -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t>- 10 -</w:t>
      </w:r>
    </w:p>
    <w:p>
      <w:r>
        <w:rPr>
          <w:b/>
        </w:rPr>
        <w:t>E. 4.3</w:t>
      </w:r>
    </w:p>
    <w:p>
      <w:r>
        <w:t>En l’occurrence, le recourant a admis les faits qui lui sont reprochés. L’enquête n’en est qu’à ses débuts et de nombreuses investigations doivent encore être menées, en vue de permettre en particulier l’appréhension des deux autres auteurs. Ainsi, comme l’ont retenu le procureur et le Tribunal des mesures de contrainte, il est impératif que le recourant ne puisse pas prendre contact avec ces personnes. Si des mesures de substitution sous forme d’un transfert en exécution de peine peuvent se justifier en cas de risque de fuite ou de réitération, tel n’est pas le cas s’il y a un risque de collusion (cf. ATF 142 IV 367 consid. 2.2). Or, tel est bien le cas en l’espèce, les deux comparses n’ayant pas encore été interpellés et entendus. L’exécution de peine suppose des contacts avec l’extérieur, que ce soit par une voie autorisée ou par l’entremise de tiers détenus. Partant, les mesures requises par la défense ne sont pas envisageables en l’état. En conséquence, le risque de collusion est bel et bien concret et justifie le maintien de la détention provisoire de G.________. Pour le surplus, la durée de la détention demeure conforme au principe de proportionnalité (art. 212 al. 3 CPP), compte tenu des mesures d’instruction en cours et de la peine susceptible d’être prononcée, au vu des infractions reprochées au recourant.</w:t>
      </w:r>
    </w:p>
    <w:p>
      <w:r>
        <w:rPr>
          <w:b/>
        </w:rPr>
        <w:t>E. 5</w:t>
      </w:r>
    </w:p>
    <w:p>
      <w:r>
        <w:t>Les motifs fondant la détention provisoire étant alternatifs (TF 1B_242/2016 du 21 juillet 2016 consid. 5), il n’est pas nécessaire de déterminer si un risque de réitération devrait également être retenu.</w:t>
      </w:r>
    </w:p>
    <w:p>
      <w:r>
        <w:rPr>
          <w:b/>
        </w:rPr>
        <w:t>E. 6</w:t>
      </w:r>
    </w:p>
    <w:p>
      <w:r>
        <w:t>Il résulte de ce qui précède que le recours, manifestement mal fondé, doit être rejeté sans échange d’écritures (art. 390 al. 2 CPP) et l’ordonnance attaquée confirmée. Au vu du mémoire de recours produit et de la nature de la cause, l’indemnité allouée au défenseur d’office de G.________ sera fixée à 396 fr. au total en chiffres arrondis, correspondant à une activité</w:t>
      </w:r>
    </w:p>
    <w:p>
      <w:r>
        <w:t>- 11 -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Vu le sort du recours, les frais de la procédure, constitués en l’espèce de l’émolument d'arrêt, par 1’100 fr. (art. 20 al. 1 TFIP), et des frais imputables à la défense d’office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11 juillet 2021 est confirmée. III. L'indemnité allouée au défenseur d'office de G.________ est fixée à 396 fr. (trois cent nonante-six francs). IV. Les frais d'arrêt, par 1’100 fr. (mille cent francs), ainsi que l'indemnité allouée au défenseur d'office du recourant, par 396 fr. (trois cent nonante-six francs), sont mis à la charge de G.________.</w:t>
      </w:r>
    </w:p>
    <w:p>
      <w:r>
        <w:t>- 12 - V. Le remboursement à l'Etat de l’indemnité allouée au chiffre III ci-dessus ne sera exigible que pour autant que la situation financière de G.________ le permette. VI. L’arrêt est exécutoire. Le président : La greffière : Du Le présent arrêt, dont la rédaction a été approuvée à huis clos, est notifié, par l'envoi d'une copie complète, à : - Me Loraine Michaud Champendal, avocate (pour G.________), - Ministère public central, et communiqué à : - Mme la Présidente du Tribunal des mesures de contrainte, - M. le Procureur cantonal Strada,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