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PE21.004689 vom 5. Juli 2021</w:t>
      </w:r>
    </w:p>
    <w:p>
      <w:r>
        <w:t>VD Tribunal cantonal, 2021-07-05, FR</w:t>
      </w:r>
    </w:p>
    <w:p>
      <w:r>
        <w:rPr>
          <w:b/>
        </w:rPr>
        <w:t xml:space="preserve">Quelle: </w:t>
      </w:r>
      <w:r>
        <w:t>https://mcp.opencaselaw.ch/entscheid/vd_gerichte_PE21.004689</w:t>
      </w:r>
    </w:p>
    <w:p>
      <w:r>
        <w:t>FR: VD_GERICHTE PE21.004689 du 5 juillet 2021</w:t>
      </w:r>
    </w:p>
    <w:p>
      <w:r>
        <w:t>IT: VD_GERICHTE PE21.004689 del 5 luglio 2021</w:t>
      </w:r>
    </w:p>
    <w:p>
      <w:pPr>
        <w:pStyle w:val="Heading2"/>
      </w:pPr>
      <w:r>
        <w:t>Erwägungen</w:t>
      </w:r>
    </w:p>
    <w:p>
      <w:r>
        <w:rPr>
          <w:b/>
        </w:rPr>
        <w:t>E. 1</w:t>
      </w:r>
    </w:p>
    <w:p>
      <w:r>
        <w:t>- 5 -</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contraventions (cf. art. 356 al. 2 CPP par renvoi de l’art. 357 al. 2 CPP), est susceptible de recours selon les art. 393 ss CPP (Juge unique CREP 19 mai 2020/384 et les réf.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en temps utile devant l’autorité compétente par le prévenu qui a qualité pour recourir (art. 382 al. 1 CPP) et dans les formes prescrites (art. 385 al. 1 CPP), le recours est recevable.</w:t>
      </w:r>
    </w:p>
    <w:p>
      <w:r>
        <w:rPr>
          <w:b/>
        </w:rPr>
        <w:t>E. 2.1</w:t>
      </w:r>
    </w:p>
    <w:p>
      <w:r>
        <w:t>Le recourant conteste être l’auteur des contraventions pour lesquelles il a été dénoncé et qui ont conduit à sa condamnation du 24 janvier 2020. Il soutient qu’il n’aurait pas été en mesure de conduire à l’époque des faits. S’il reconnaît « avoir pris du temps » pour envoyer son opposition, il fait valoir qu’il pensait qu’une opposition par téléphone serait suffisante. Il aurait ainsi plusieurs fois tenté de contacter le service concerné de cette façon mais serait toutefois systématiquement tombé sur un répondeur.</w:t>
      </w:r>
    </w:p>
    <w:p>
      <w:r>
        <w:rPr>
          <w:b/>
        </w:rPr>
        <w:t>E. 2.2</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w:t>
      </w:r>
    </w:p>
    <w:p>
      <w:r>
        <w:t>- 6 -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 Sauf disposition contraire du Code de procédure pénale, les communications des autorités pénales sont notifiées en la forme écrite (art. 85 al. 1 CPP). La notification se fait en principe par lettre signature ou par tout autre mode de communication impliquant un accusé de réception, notamment par l’entremise de la police (art. 85 al. 2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ATF 124 V 400 consid. 2a ; TF 6B_869/2014 du 18 septembre 2015 consid. 1.2). La preuve de la notification peut néanmoins résulter d'autres indices ou de l'ensemble des</w:t>
      </w:r>
    </w:p>
    <w:p>
      <w:r>
        <w:t>- 7 - circonstances, par exemple un échange de correspondance ultérieur ou le comportement du destinataire (ATF 142 IV 125 consid. 4.3 ; ATF 105 III 43 consid. 2a). Il s’ensuit que, nonobstant le non-respect de l’art. 85 al. 2 CPP, une notification est également valable selon la jurisprudence fédérale lorsqu’il peut être prouvé d’une autre manière que le destinataire en a eu connaissance et lorsque les intérêts à protéger de ce dernier (droit à être informé) sont garantis (cf. ATF 145 IV 252 consid. 1.3.2 et les réf. cit. ; ATF 144 IV 57 consid. 2.3.2 ; ATF 142 IV 125 consid. 4.3 ; TF 1B_41/2016 du 24 février 2016 consid. 2.2 ; TF 6B_390/2013 du 6 février 2014 consid. 2.3.2).</w:t>
      </w:r>
    </w:p>
    <w:p>
      <w:r>
        <w:rPr>
          <w:b/>
        </w:rPr>
        <w:t>E. 2.3</w:t>
      </w:r>
    </w:p>
    <w:p>
      <w:r>
        <w:t>En l’occurrence, le Tribunal de police a constaté que le pli contenant l’ordonnance pénale du 24 janvier 2020, de même que les courriers suivants n’étaient jamais revenus en retour à la Commission de police ou à l’Office du contentieux de la Ville de Lausanne. Il a ainsi considéré que P.________ avait au plus tard eu connaissance de sa condamnation lorsqu’il avait formé opposition au commandement de payer qui lui avait été adressé en lien avec l’amende due, que l’ordonnance pénale litigieuse était dès lors réputée notifiée au plus tard au début du mois de septembre 2020, que l’opposition formée pour la première fois le 26 novembre 2020 par courriel était par conséquent manifestement tardive et que les certificats médicaux produits par P.________ ne justifiaient pas de son incapacité à rédiger un courrier d’opposition dans le délai légal. Cette appréciation ne prête pas le flanc à la critique et doit être confirmée. Force est de constater au demeurant que le recourant ne conteste pas avoir reçu l’ordonnance pénale du 24 janvier 2020, qu’il ne remet pas en cause le caractère tardif de son opposition et qu’il ne requiert pas de restitution de délai. Cela étant, même s’il l’avait fait, sa requête devrait être rejetée, l’ordonnance litigieuse indiquant expressément que l’opposition devait être formulée par écrit. Le recourant ne pouvait pas ignorer qu’un appel téléphonique ne serait pas suffisant pour former valablement opposition.</w:t>
      </w:r>
    </w:p>
    <w:p>
      <w:r>
        <w:t>- 8 - En définitive, c’est à juste titre que le Tribunal de police de l’arrondissement de Lausanne a constaté que l'opposition déposée par P.________ était tardive et l’a déclarée irrecevable. Pour le surplus, il n’appartient pas à l’autorité de céans de se prononcer sur le bien-fondé de l’ordonnance pénale litigieuse.</w:t>
      </w:r>
    </w:p>
    <w:p>
      <w:r>
        <w:rPr>
          <w:b/>
        </w:rPr>
        <w:t>E. 3</w:t>
      </w:r>
    </w:p>
    <w:p>
      <w:r>
        <w:t>Au vu de ce qui précède, le recours doit être rejeté sans échange d’écritures (art. 390 al. 2 CPP) et le prononcé du 20 avril 2021 confirmé. Les frais de la procédure de recours, constitués en l’espèce du seul émolument d'arrêt (art. 422 al. 1 CPP), par 880 fr. (art. 20 al. 1 TFIP [Tarif des frais de procédure et indemnités en matière pénale ; BLV 312.03.1), seront mis à la charge du recourant, qui succombe (art. 428 al. 1 CPP). Par ces motifs, la Chambre des recours pénale prononce : I. Le recours est rejeté II. Le prononcé du 20 avril 2021 est confirmé. III. Les frais de la procédure de recours, par 880 fr. (huit cent huitante francs), sont mis à la charge de P.________.</w:t>
      </w:r>
    </w:p>
    <w:p>
      <w:r>
        <w:t>- 9 - IV. L’arrêt est exécutoire. Le président : La greffière : Du Le présent arrêt, dont la rédaction a été approuvée à huis clos, est notifié, par l'envoi d'une copie complète, à : - M. P.________, - Ministère public central, et communiqué à : - M. le Président du Tribunal d'arrondissement de Lausanne, - Commission de police de la Ville de Lausanne (affaire n° 3163246),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