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PE21.004393 vom 11. April 2022</w:t>
      </w:r>
    </w:p>
    <w:p>
      <w:r>
        <w:t>VD Tribunal cantonal, 2022-04-11, FR</w:t>
      </w:r>
    </w:p>
    <w:p>
      <w:r>
        <w:rPr>
          <w:b/>
        </w:rPr>
        <w:t xml:space="preserve">Quelle: </w:t>
      </w:r>
      <w:r>
        <w:t>https://mcp.opencaselaw.ch/entscheid/vd_gerichte_PE21.004393</w:t>
      </w:r>
    </w:p>
    <w:p>
      <w:r>
        <w:t>FR: VD_GERICHTE PE21.004393 du 11 avril 2022</w:t>
      </w:r>
    </w:p>
    <w:p>
      <w:r>
        <w:t>IT: VD_GERICHTE PE21.004393 del 11 aprile 2022</w:t>
      </w:r>
    </w:p>
    <w:p>
      <w:pPr>
        <w:pStyle w:val="Heading2"/>
      </w:pPr>
      <w:r>
        <w:t>Erwägungen</w:t>
      </w:r>
    </w:p>
    <w:p>
      <w:r>
        <w:rPr>
          <w:b/>
        </w:rPr>
        <w:t>E. 4.1</w:t>
      </w:r>
    </w:p>
    <w:p>
      <w:r>
        <w:t>L’appelant, qui conclut à son acquittement, reproche au premier juge une violation des art. 123 et 126 CP.</w:t>
      </w:r>
    </w:p>
    <w:p>
      <w:r>
        <w:rPr>
          <w:b/>
        </w:rPr>
        <w:t>E. 4.1.1</w:t>
      </w:r>
    </w:p>
    <w:p>
      <w:r>
        <w:t>Aux termes de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rPr>
          <w:b/>
        </w:rPr>
        <w:t>E. 4.1.2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w:t>
      </w:r>
    </w:p>
    <w:p>
      <w:r>
        <w:t>- 20 -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4.2</w:t>
      </w:r>
    </w:p>
    <w:p>
      <w:r>
        <w:t>En l’espèce, le premier juge a considéré que, s’agissant des faits décrits dans la première partie de l’acte d’accusation (cf. supra let. C/2.2), dès lors qu’aucun élément au dossier ne permettait d’objectiver des lésions qui seraient constitutives de lésions corporelles simples, seules les voies de fait, sous la forme simple, devaient être retenues. En effet, le fait pour l’appelant de jeter avec force L.________ sur le lit et la maintenir par les épaules, tout en plaçant un genou sur son bassin, la bloquant dans ses mouvements est constitutif de voies de fait réprimées par l’art. 126 CP. Quant aux atteintes subies par L.________ à la suite des événements du 20 février 2021 (cf. supra let. C/2.3), soit un traumatisme crânio-cérébral mineur, ainsi que, au niveau de la tête, des dermabrasions, une ecchymose, un hématome frontal gauche de 5 cm et une plaie du canal auditif externe gauche ; il s’agit à l’évidence de lésions corporelles au sens de l’art. 123 al. 1 CP. De plus, à l’audience d’appel, la plaignante a fourni une attestation médicale attestant de la baisse d’audition bilatérale dont elle souffre encore (P. 47). Enfin, elle a également ressenti des nausées, des céphalées et des vertiges. Au vu de ce qui précède, la condamnation de l’appelant pour voies de fait et lésions corporelles qualifiées doit ainsi être confirmée et son grief rejeté.</w:t>
      </w:r>
    </w:p>
    <w:p>
      <w:r>
        <w:rPr>
          <w:b/>
        </w:rPr>
        <w:t>E. 5</w:t>
      </w:r>
    </w:p>
    <w:p>
      <w:r>
        <w:t>L’appelant, qui a conclu à son acquittement, ne conteste pas la quotité de la peine en tant que telle. Il a toutefois requis qu’il soit fait application de l’art. 48 let. c CP, dès lors qu’il aurait agi en proie à une</w:t>
      </w:r>
    </w:p>
    <w:p>
      <w:r>
        <w:t>- 21 - émotion violente que les circonstances rendaient excusables en raison de la prétendue infidélité de son épouse.</w:t>
      </w:r>
    </w:p>
    <w:p>
      <w:r>
        <w:rPr>
          <w:b/>
        </w:rPr>
        <w:t>E. 5.1.1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5.1.2</w:t>
      </w:r>
    </w:p>
    <w:p>
      <w:r>
        <w:t>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w:t>
      </w:r>
    </w:p>
    <w:p>
      <w:r>
        <w:t>- 22 -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 CAPE 12 novembre 2019/355 consid. 8.2.3 et les références citées). Pour que la circonstance atténuante invoquée puisse être prise en considération, il faut en outre qu’il existe une certaine proportionnalité entre les circonstances objectives, d’une part, et la réaction de l’auteur, d’autre part (TF 6B_622/2008 du 13 janvier 2009 consid. 8.1 ; TF 6B_517/2008 du 27 août 2008 consid. 5.3.2 ; CAPE 12 novembre 2019/355 consid. 8.2.3 et les références citées).</w:t>
      </w:r>
    </w:p>
    <w:p>
      <w:r>
        <w:rPr>
          <w:b/>
        </w:rPr>
        <w:t>E. 5.2</w:t>
      </w:r>
    </w:p>
    <w:p>
      <w:r>
        <w:t>En l’espèce, l’appelant demande qu’aucune peine ne soit prononcée, au seul motif qu’il a conclu à sa libération de toute infraction. Ces griefs doivent être rejetés, dès lors que sa condamnation pour lésions corporelles simples et voies de fait est confirmée (cf. supra, consid. 4.2). Vérifiée d’office, la peine privative de liberté de six mois avec sursis pendant trois ans et l’amende de 1’200 fr. prononcées à son encontre, qui ne sont pas contestées dans leur quotité, ont été fixées conformément aux principes applicables. Elles sont adéquates et doivent être confirmées. On précisera en outre qu’au vu des faits retenus, il n’y a pas matière à appliquer l’art. 48 let. c CP, la violence de la réaction de l’appelant à son soupçon d’infidélité de la plaignante étant complétement disproportionnée, dangereuse et partant, non excusable. Pour le surplus, il peut être renvoyé à la motivation du jugement attaqué par adoption de</w:t>
      </w:r>
    </w:p>
    <w:p>
      <w:r>
        <w:t>- 23 - motifs (art. 82 al. 4 CPP, cf. jugement, pp. 25-26), laquelle est claire et convaincante.</w:t>
      </w:r>
    </w:p>
    <w:p>
      <w:r>
        <w:rPr>
          <w:b/>
        </w:rPr>
        <w:t>E. 6</w:t>
      </w:r>
    </w:p>
    <w:p>
      <w:r>
        <w:t>Fondé sur la prémisse de son acquittement, l’appelant conteste le montant de l’indemnité pour tort moral allouée à la plaignante mise à sa charge par le Tribunal de police. Compte tenu de sa condamnation, le montant de cette indemnité apparaît adéquat et il convient de le confirmer par adoption de motifs (art. 82 al. 4 CPP).</w:t>
      </w:r>
    </w:p>
    <w:p>
      <w:r>
        <w:rPr>
          <w:b/>
        </w:rPr>
        <w:t>E. 7</w:t>
      </w:r>
    </w:p>
    <w:p>
      <w:r>
        <w:t>Enfin, l’appelant conteste la mise à sa charge des frais de première instance et conclut à l’allocation d’une indemnité au titre de l’art. 429 CPP. Dans la mesure où sa condamnation est confirmée, c’est à raison que le premier juge a mis à sa charge les frais de première instance, conformément à l’art. 426 al. 1 CPP, et qu’il n’a dès lors pas droit à une indemnité pour ses frais de défense au sens de l’art. 429 CPP.</w:t>
      </w:r>
    </w:p>
    <w:p>
      <w:r>
        <w:rPr>
          <w:b/>
        </w:rPr>
        <w:t>E. 8</w:t>
      </w:r>
    </w:p>
    <w:p>
      <w:r>
        <w:t>Au vu de ce qui précède, l’appel doit être rejeté et le jugement entrepris confirmé. Faisant valoir l’examen du jugement de première instance, trois conférences avec son client, la rédaction de la déclaration d’appel et le temps d’audience, Me Bertrand Pariat, défenseur d’office d’E.________, a conclu à l’allocation d’une indemnité d’un montant de 2’129 francs, TVA, vacations et débours inclus, ce qui peut être admis. Me Carola Massatsch, conseil d’office de L.________, a produit une liste d’opérations (P. 48), dans laquelle elle indique avoir consacré 7 heures et 30 minutes à ce mandat, dont 2 heures pour l’audience d’appel. Cette durée peut être admise, sous réserve de 45 minutes qui seront retranchées pour tenir compte du temps effectif de l’audience d’appel. L’indemnité d’office qui doit être allouée à Me Carola Massatsch pour la procédure d’appel s’élève ainsi à 1’612 fr. 25, débours, vacation et TVA compris.</w:t>
      </w:r>
    </w:p>
    <w:p>
      <w:r>
        <w:t>- 24 - Vu l’issue de la cause, les frais de la procédure d’appel, par 2’570 fr., constitués en l’espèce de l’émolument de jugement et d’audience (art. 21 al. 1 TFIP [Tarif des frais de procédure et indemnités en matière pénale du 28 septembre 2010 ; BLV 312.03.1]), seront mis à la charge d’E.________, qui succombe (art. 428 al. 1 CPP). E.________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