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PE21.004278 vom 14. April 2022</w:t>
      </w:r>
    </w:p>
    <w:p>
      <w:r>
        <w:t>VD Tribunal cantonal, 2022-04-14, FR</w:t>
      </w:r>
    </w:p>
    <w:p>
      <w:r>
        <w:rPr>
          <w:b/>
        </w:rPr>
        <w:t xml:space="preserve">Quelle: </w:t>
      </w:r>
      <w:r>
        <w:t>https://mcp.opencaselaw.ch/entscheid/vd_gerichte_PE21.004278</w:t>
      </w:r>
    </w:p>
    <w:p>
      <w:r>
        <w:t>FR: VD_GERICHTE PE21.004278 du 14 avril 2022</w:t>
      </w:r>
    </w:p>
    <w:p>
      <w:r>
        <w:t>IT: VD_GERICHTE PE21.004278 del 14 aprile 2022</w:t>
      </w:r>
    </w:p>
    <w:p>
      <w:pPr>
        <w:pStyle w:val="Heading2"/>
      </w:pPr>
      <w:r>
        <w:t>Erwägungen</w:t>
      </w:r>
    </w:p>
    <w:p>
      <w:r>
        <w:rPr>
          <w:b/>
        </w:rPr>
        <w:t>E. 9.1</w:t>
      </w:r>
    </w:p>
    <w:p>
      <w:r>
        <w:t>Le prévenu conteste la durée de son expulsion et l’inscription de celle-ci au SIS, qui seraient disproportionnées.</w:t>
      </w:r>
    </w:p>
    <w:p>
      <w:r>
        <w:rPr>
          <w:b/>
        </w:rPr>
        <w:t>E. 9.2.1</w:t>
      </w:r>
    </w:p>
    <w:p>
      <w:r>
        <w:t>Le juge doit fixer la durée de l'expulsion dans la fourchette prévue de cinq à quinze ans, en tenant compte notamment du principe de la proportionnalité (Message du Conseil fédéral concernant une modification du code pénal et du code pénal militaire du 26 juin 2013, FF 2013 pp. 5373 ss, spéc. p. 5416). Le critère d’appréciation déterminant, lorsqu’il s’agit de se prononcer sur la durée d’une mesure d’expulsion, est la nécessité de protéger la société pendant un certain temps, en fonction de l’importance du bien juridique menacé, respectivement de la gravité de l’atteinte qui pourrait y être portée, de la dangerosité de l’auteur, du risque qu’il récidive, de la gravité des infractions qu’il est susceptible de commettre à l’avenir et des liens d'attache avec le pays d'accueil, à l’exclusion de toute considération relative à la gravité de la faute commise (TF 6B_861/2018 du 24 octobre 2018 consid. 2.6 ; TF 6B_1043/2017 du 14 août 2018 consid. 3.1.3 ; Grodecki/Jeanneret, L’expulsion judiciaire in : Droit pénal – évolutions en 2018, Bâle 2017, n. 32, 40, 41, 42). La durée de l’expulsion doit davantage être fixée en fonction de l’importance de l’intérêt public à l’expulsion du condamné et de la proportionnalité de l’atteinte à sa vie privée qu’en comparaison avec la peine prononcée (TF 6B_242/2019 du 18 mars 2019 consid.1.3). En particulier, l’expulsion d’un auteur d'infractions graves à la LStup, mettant en danger la santé de nombreuses personnes, doit permettre de protéger la société et l'ordre public (cf. not. TF 6B_93/2021 du 6 octobre 2021 consid. 5.1 ; TF 6B_894/2020 du 26 novembre 2020 consid. 3.3 et 3.4).</w:t>
      </w:r>
    </w:p>
    <w:p>
      <w:r>
        <w:t>- 28 -</w:t>
      </w:r>
    </w:p>
    <w:p>
      <w:r>
        <w:rPr>
          <w:b/>
        </w:rPr>
        <w:t>E. 9.2.2</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 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w:t>
      </w:r>
    </w:p>
    <w:p>
      <w:r>
        <w:t>- 29 -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9.3</w:t>
      </w:r>
    </w:p>
    <w:p>
      <w:r>
        <w:t>En l’espèce, le prévenu est albanais. Il est marié et a des enfants mineurs, toute sa famille vivant en Albanie. Il n’a aucun lien avec la Suisse, où il n’est venu que pour trafiquer, par besoin d’argent. En première instance, il a déclaré (jugement, p. 4) qu’il ne reviendrait plus jamais en Suisse ; il ne fait ainsi valoir aucun motif pour limiter la durée de son expulsion. Les faits commis sont en outre graves, l’appelant ayant mis en danger la santé de très nombreuses personnes. La durée de 15 ans d’expulsion est ainsi justifiée, compte tenu de l’intérêt majeur à éloigner l’appelant de notre pays. L’inscription au SIS se justifie également, dès lors que le prévenu a déjà été condamné dans son pays d’origine pour le même motif et qu’il est à craindre qu’il ne récidive dans un autre pays d’Europe, ce qui représente encore une fois une menace pour la santé et l’ordre public. Le principe de proportionnalité est donc respecté.</w:t>
      </w:r>
    </w:p>
    <w:p>
      <w:r>
        <w:t>- 30 -</w:t>
      </w:r>
    </w:p>
    <w:p>
      <w:r>
        <w:rPr>
          <w:b/>
        </w:rPr>
        <w:t>E. 10</w:t>
      </w:r>
    </w:p>
    <w:p>
      <w:r>
        <w:t>Le maintien en détention de Z.________ à titre de sûreté doit être ordonné en raison des risques de fuite et de réitération. En effet, celui-ci pourrait se soustraire à l’exécution de sa peine en retournant dans son pays d’origine ou en disparaissant dans la clandestinité. Cette détention permettra donc de garantir tant l’exécution de la peine privative de liberté que l’expulsion prononcée. De plus, une première condamnation en Albanie pour trafic de stupéfiants n’a eu aucun effet sur le condamné pour éviter qu’il récidive en Suisse. Il est donc également nécessaire de le maintenir en détention pour ce motif.</w:t>
      </w:r>
    </w:p>
    <w:p>
      <w:r>
        <w:rPr>
          <w:b/>
        </w:rPr>
        <w:t>E. 11.1</w:t>
      </w:r>
    </w:p>
    <w:p>
      <w:r>
        <w:t>Le prévenu fait valoir que le tribunal se serait trompé dans le décompte des jours passés en détention dans des conditions illicites, en retenant qu’il avait occupé la cellule 224 depuis « la date de l’ordonnance du 26 avril 2022 », alors qu’il y était depuis le 23 novembre 2021.</w:t>
      </w:r>
    </w:p>
    <w:p>
      <w:r>
        <w:rPr>
          <w:b/>
        </w:rPr>
        <w:t>E. 11.2.1</w:t>
      </w:r>
    </w:p>
    <w:p>
      <w:r>
        <w:t>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 TF 6B_456/2015 du 21 mars 2016 consid. 2.1). En principe, si la surface disponible dépasse 4 m2, les conditions de détention ne sont pas illicites. Par ailleurs, de brèves interruptions d’un à trois jours lors desquelles un détenu bénéficie d’un espace individuel plus grand ne sont pas de nature à interrompre le délai indicatif de trois mois au-delà duquel</w:t>
      </w:r>
    </w:p>
    <w:p>
      <w:r>
        <w:t>- 31 - les conditions de détention ne sont plus tolérables et sont contraires à la dignité humaine (TF 6B_352/2018 du 27 juillet 2018 consid. 6.2 ; TF 1B_84/2016 du 27 juillet 2016 consid. 2.1). S'agissant de la prison vaudoise du Bois-Mermet, le Tribunal fédéral a précisé que, lors du calcul de la surface individuelle à disposition de chaque détenu, la surface des installations sanitaires se trouvant dans la cellule, qui peut être estimée à 1,5 m2, devait être retranchée (TF 1B_325/2017 précité consid. 3.2 ; TF 1B_70/2016 du 24 juin 2016 consid. 3.4).</w:t>
      </w:r>
    </w:p>
    <w:p>
      <w:r>
        <w:rPr>
          <w:b/>
        </w:rPr>
        <w:t>E. 11.2.2</w:t>
      </w:r>
    </w:p>
    <w:p>
      <w:r>
        <w:t>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w:t>
      </w:r>
    </w:p>
    <w:p>
      <w:r>
        <w:rPr>
          <w:b/>
        </w:rPr>
        <w:t>E. 11.3</w:t>
      </w:r>
    </w:p>
    <w:p>
      <w:r>
        <w:t>L’appelant et les premiers juges sont d’accord pour dire que jusqu’au 27 octobre 2021, le prévenu a été détenu dans des conditions illicites durant un total de 114 jours au Bois-Mermet, qui s’ajoute aux 13 jours passés à la zone carcérale de l’Hôtel de police de Lausanne. Le tribunal a compté ensuite 83 jours depuis le 27 janvier 2022, date de l’ordonnance du Tribunal des mesures de contrainte, jusqu’au 14 avril 2022, pour un total de 197 jours au Bois-Mermet (114 + 83 = 197). On comprend dans les motifs que le tribunal a accordé une réparation de 7 jours pour la détention en zone carcérale (1 jour pour 2) et de 49 jours pour la détention dans des conditions illicites au Bois-Mermet (1 jour pour 4). L’appelant compte, lui, 142 jours du 23 novembre 2021 au 14 avril 2022. Le calcul de l’appelant est correct. Les P. 59 et 79 établissent en effet qu’il est détenu dans la cellule 224 depuis le 23 novembre 2021 et pas seulement depuis l’ordonnance du Tribunal des mesures de contrainte. Si on compare la surface nette à disposition dans cette cellule (9,33 m2 pour deux détenus, dont il faut encore déduire la surface occupée par les sanitaires) avec celles des autres cellules faisant l’objet de l’ordonnance du Tribunal des mesures de contrainte du 26 janvier 2022 (9,50 m2 et 9,23 m2), on constate que la surface individuelle nette à disposition est insuffisante, à savoir de moins de 4 m2. Il faut également prendre en considération les autres circonstances aggravantes liées à la détention au Bois-Mermet, en particulier le manque d’intimité aux toilettes et la mauvaise isolation thermique du bâtiment, et la durée de celle-ci, qui est supérieure à trois mois. Il en résulte que l’appelant a été détenu dans des conditions illicites durant 142 jours pour la période entre le 23 novembre 2021 et le 14 avril 2022 (date du jugement de première instance). Il convient donc de l’indemniser pour ces 142 jours, auxquels s’ajoutent les 114 jours non contestés, ce qui totalise en définitive 256 jours de détention dans des conditions illicites au Bois-Mermet.</w:t>
      </w:r>
    </w:p>
    <w:p>
      <w:r>
        <w:t>- 34 - L’appelant conteste aussi la proportion appliquée d’un jour pour quatre. Il voudrait que l’on décompte un jour pour trois, en faisant valoir le « caractère notable et notoire des conditions exécrables » de la prison du Bois-Mermet. C’est une motivation insuffisante, les conditions variant d’une cellule à l’autre et d’un détenu à l’autre, en fonction de ses activités et possibilités de sortir de la cellule. Les éléments qui ressortent du rapport de la direction du Bois-Mermet (P. 59) et de l’ordonnance du Tribunal des mesures de contrainte du 26 janvier 2022 ne justifient en effet pas de tenir compte d’une proportion plus favorable, compte tenu de la jurisprudence en la matière. Il faut également prendre en considération le fait que le prévenu se trouvait en dehors de sa cellule en moyenne plus de cinq heures par jour, dès lors qu’il travaillait à l’atelier buanderie à 50 %, en alternance avec son codétenu, et qu’il occupait ainsi seul sa cellule double lorsque ce dernier travaillait, ce qui allégeait ses conditions de détention. Il convient ainsi d’opérer une réduction de peine d’un quart des jours passés dans des conditions illicites de détention, ce qui revient à déduire 64 jours (256/4), auxquels il faut ajouter 7 jours pour les 13 jours passés en zone carcérale, ce qui totalise en définitive une déduction de 71 jours, au lieu des 56 jours déduits par les premiers juges. L’appel doit par conséquent être partiellement admis sur ce point.</w:t>
      </w:r>
    </w:p>
    <w:p>
      <w:r>
        <w:rPr>
          <w:b/>
        </w:rPr>
        <w:t>E. 11.4</w:t>
      </w:r>
    </w:p>
    <w:p>
      <w:r>
        <w:t>L’appelant fait valoir que, depuis le jugement de première instance, il se trouve toujours dans la même cellule (no 224) d’une surface insuffisante. Interpellée à cet égard, la direction du Bois-Mermet a produit un nouveau rapport sur les conditions de détention de l’appelant (P. 79), d’où il ressort que, depuis le jugement de première instance, il est effectivement demeuré dans la cellule 224, qui, comme on l’a vu, a une surface individuelle nette à disposition insuffisante, à savoir de moins de 4 m2. Il faut ainsi tenir compte de 146 jours pour la période entre le 15 avril 2022 et la date du présent jugement, qu’il se justifie d’indemniser à raison de 1 jour pour 4, ce qui revient à déduire 37 jours de la peine à laquelle l’appelant a été condamné, pour la réparation du tort moral subi pour la détention exécutée dans des conditions illicites jusqu’au présent jugement.</w:t>
      </w:r>
    </w:p>
    <w:p>
      <w:r>
        <w:t>- 35 - 12. En conclusion, l’appel doit être partiellement admis sur la question de l’indemnisation des conditions de détention. Le jugement entrepris sera donc réformé, dans le sens des considérants qui précèdent, et confirmé pour le surplus. Le défenseur d’office de l’appelant, Me Jean-Nicolas Roud, a produit une liste d’opérations faisant état d’une durée de 15 heures et 50 minutes d’activité (P. 86), dont il n’y a pas lieu de s’écarter, hormis par l’ajout d’une heure pour l’audience d’appel, ce qui revient à une durée totale de 16 heures 50 minutes.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3'030 fr. à titre d’honoraires. A cela s’ajoutent un forfait pour les débours de 2 % (cf. art. 26b TFIP qui renvoie à l'art. 3bis RAJ), par 60 fr. 60, trois vacations, par 360 fr., ainsi que la TVA sur le tout, au taux de 7,7 %, par 265 fr. 70. Partant, une indemnité d’un montant total de 3'716 fr. 30 sera allouée à Me Jean-Nicolas Roud. Vu l’issue de la cause et dans la mesure où l’appel a été admis sur un point très secondaire, les frais de la procédure d’appel, constitués en l’espèce de l’émolument de jugement, par 3’670 fr. (27 pages et une heure d’audience ; cf. art. 21 al. 1 et 2 TFIP), ainsi que de l’indemnité allouée au défenseur d’office de l’appelant, par 3'716 fr. 30, soit au total par 7'386 fr. 30, seront mis à la charge de l’appelant par neuf dixièmes, soit par 6’647 fr. 65, le solde étant laissé à la charge de l’Etat (art. 428 al. 1 CPP). Le remboursement à l'Etat des neuf dixièmes de l’indemnité d'office ne sera exigible que pour autant que la situation économique de l’appelant le permette (art. 135 al. 4 CPP).</w:t>
      </w:r>
    </w:p>
    <w:p>
      <w:r>
        <w:t>- 36 -</w:t>
      </w:r>
    </w:p>
    <w:p>
      <w:r>
        <w:rPr>
          <w:b/>
        </w:rPr>
        <w:t>E. 15</w:t>
      </w:r>
    </w:p>
    <w:p>
      <w:r>
        <w:t>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27 avril 2022/177 consid. 4.1.2 ; CAPE 8 octobre 2015/387 consid. 2.2). Selon le Tribunal fédéral, l'ampleur de la réparation dépend avant tout de l'appréciation concrète des circonstances particulières du cas d'espèce, en particulier de la gravité des souffrances physiques ou</w:t>
      </w:r>
    </w:p>
    <w:p>
      <w:r>
        <w:t>- 32 - psychiques consécutives à l'atteinte subie (TF 6B_458/2019 et 6B_459/2019 du 23 mai 2019 consid. 7.1 ; TF 6B_352/2018 du 27 juillet 2018 ; TF 6B_1395/2016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w:t>
      </w:r>
    </w:p>
    <w:p>
      <w:r>
        <w:t>- 33 - aggravantes sont remplies. S’agissant du critère de la durée de la détention, la circonstance aggravante est réalisée dès le 91e jour et justifie depuis lors une réduction (CAPE 27 avril 2022/177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