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PE21.004090 vom 8. Juli 2021</w:t>
      </w:r>
    </w:p>
    <w:p>
      <w:r>
        <w:t>VD Tribunal cantonal, 2021-07-08, FR</w:t>
      </w:r>
    </w:p>
    <w:p>
      <w:r>
        <w:rPr>
          <w:b/>
        </w:rPr>
        <w:t xml:space="preserve">Quelle: </w:t>
      </w:r>
      <w:r>
        <w:t>https://mcp.opencaselaw.ch/entscheid/vd_gerichte_PE21.004090</w:t>
      </w:r>
    </w:p>
    <w:p>
      <w:r>
        <w:t>FR: VD_GERICHTE PE21.004090 du 8 juillet 2021</w:t>
      </w:r>
    </w:p>
    <w:p>
      <w:r>
        <w:t>IT: VD_GERICHTE PE21.004090 del 8 luglio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auprès de l’autorité compétente et dans les formes prescrites (art. 385 al. 1 CPP), de sorte qu’il est recevable.</w:t>
      </w:r>
    </w:p>
    <w:p>
      <w:r>
        <w:rPr>
          <w:b/>
        </w:rPr>
        <w:t>E. 2</w:t>
      </w:r>
    </w:p>
    <w:p>
      <w:r>
        <w:t>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Le recourant soutient que l’intimé l’a décrit comme ayant un « caractère violent » sans nuance ni retenue, ce qui serait attentatoire à son honneur au sens de l’art. 173 CP. Il estime en outre que le litige qui oppose les parties ne rendait absolument pas nécessaire d’alléguer qu’il serait violent, l’intimé démontrant ainsi sa volonté de le discréditer et d’attenter à son honneur.</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- 4 -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Les art. 173 ss CP protègent la réputation d'être un individu honorable, c'est-à-dire de se comporter comme une personne digne a</w:t>
      </w:r>
    </w:p>
    <w:p>
      <w:r>
        <w:t>- 5 - coutume de le faire selon les conceptions généralement reçues. Il faut donc que l'atteinte fasse apparaître la personne visée comme méprisable (ATF 137 IV 313 consid. 2.1.1 et la jurisprudence citée). L'honneur protégé par le droit pénal est conçu de façon générale comme un droit au respect, qui est lésé par toute assertion propre à exposer la personne visée au mépris en sa qualité d'être humain (ATF 132 IV 112 consid. 2.1 et la jurisprudence citée). Il y a atteinte à l'honneur si on évoque une infraction pénale ou un comportement clairement réprouvé par les conceptions morales généralement admises (Corboz, Les infractions en droit suisse, vol. 1, 3e éd., 2010, n° 11 ad art. 173 CP ; cf. ATF 116 IV 205 consid. 2 et ATF 103 IV 161 consid. 2). Le fait que les propos soient tenus dans le cadre d'un litige, sans être inutilement blessants et en rapport avec ledit litige, rend toutefois les propos incriminés licites (ATF 131 IV 154 consid. 1.3.1; ATF 118 IV 153 consid. 4b; ATF 118 IV 248 consid. 2c ; CREP, arrêt 93 du 11.02.2013 et arrêt 604 du 06.06.2019). Dans un tel contexte, une atteinte à l'honneur ne doit être admise que restrictivement, surtout si les propos litigieux ne s'adressent qu'aux membres d'une autorité judiciaire, qui sont à même de faire la part des choses (Favre/Pellet/Stoudmann, Code pénal annoté, 3e éd., Lausanne 2011, n. 1.14 ad art. 173 CP).</w:t>
      </w:r>
    </w:p>
    <w:p>
      <w:r>
        <w:rPr>
          <w:b/>
        </w:rPr>
        <w:t>E. 2.3</w:t>
      </w:r>
    </w:p>
    <w:p>
      <w:r>
        <w:t>En l’espèce, les termes employés dans les réquisitions de preuve du 10 février 2021 ne constituent pas une allégation de fait ou un soupçon jeté sur autrui comme l'exige l'art. 173 CP (Dupuis et al. [éd.], Petit commentaire du Code pénal, 2e éd., Bâle 2017, n. 10 et 11 ad art. 173 CP). En effet, et comme retenu par le Procureur, on constate que ces termes s'inscrivent dans le cadre d'une mesure d'instruction requise et qu’ils en constituent la motivation conformément au CPP (art. 164 al.1 et 180 al. 2 CPP). En outre, ces réquisitions sont fondées puisqu’elles ont pour objectif de renseigner sur la perception que pouvait avoir le prévenu de la partie plaignante. Enfin, le terme « permettront » confirme que l'expression litigieuse est subordonnée à l'administration des preuves requises, qui est réservée puisqu’il appartient au Procureur de donner droit ou non à ces requêtes.</w:t>
      </w:r>
    </w:p>
    <w:p>
      <w:r>
        <w:t>- 6 - Quant à l'argument, soulevé en recours seulement, ce qui est tardif, selon lequel le recourant laisse entendre que le fait de requérir un extrait du casier judiciaire serait déjà une atteinte à l'honneur, il doit être écarté de toute façon pour le motif déjà exposé qu'une telle demande est prévue par la loi. Compte tenu de ce qui précède, c’est à bon droit que le Procureur a rendu une ordonnance de non-entrée en matière.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22 juin 2021 est confirmée. III. Les frais d’arrêt, par 660 fr. (six cent soixante francs), sont mis à la charge de G.________. IV. L’arrêt est exécutoire. Le président : La greffière :</w:t>
      </w:r>
    </w:p>
    <w:p>
      <w:r>
        <w:t>- 7 - Du Le présent arrêt, dont la rédaction a été approuvée à huis clos, est notifié, par l'envoi d'une copie complète, à : - Me Astyanax Peca, avocat (pour G.________), - Ministère public central, et communiqué à : - M. le Procureur de l’arrondissement de l’Est vaudois, - Me Emilie Walpen, avocate (pour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