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PE21.003905 vom 11. Juni 2021</w:t>
      </w:r>
    </w:p>
    <w:p>
      <w:r>
        <w:t>VD Tribunal cantonal, 2021-06-11, FR</w:t>
      </w:r>
    </w:p>
    <w:p>
      <w:r>
        <w:rPr>
          <w:b/>
        </w:rPr>
        <w:t xml:space="preserve">Quelle: </w:t>
      </w:r>
      <w:r>
        <w:t>https://mcp.opencaselaw.ch/entscheid/vd_gerichte_PE21.003905</w:t>
      </w:r>
    </w:p>
    <w:p>
      <w:r>
        <w:t>FR: VD_GERICHTE PE21.003905 du 11 juin 2021</w:t>
      </w:r>
    </w:p>
    <w:p>
      <w:r>
        <w:t>IT: VD_GERICHTE PE21.003905 del 11 giugno 2021</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auprès de l’autorité compétente et dans les formes prescrites (art. 385 al. 1 CPP), de sorte qu’il est recevable.</w:t>
      </w:r>
    </w:p>
    <w:p>
      <w:r>
        <w:rPr>
          <w:b/>
        </w:rPr>
        <w:t>E. 2</w:t>
      </w:r>
    </w:p>
    <w:p>
      <w:r>
        <w:t>CPP ; ATF 138 IV 86 consid. 4.2 ; TF 6B_510/2020 du 15 septembre 2020</w:t>
      </w:r>
    </w:p>
    <w:p>
      <w:r>
        <w:t>- 6 -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Invoquant un déni de justice, le recourant maintient que la lettre datée du 11 janvier 2019 serait un faux. Il fait valoir que ce document aurait eu une influence décisive sur la décision du Tribunal de prud’hommes, que la date de sa rédaction et celle de la mention de sa notification au plaignant ne correspondraient pas, que son adresse serait erronée et que la mise en page serait « bizarre », ne prévoyant aucune place ni pour son nom ni pour sa signature. Le recourant paraît par ailleurs soutenir que cette lettre ne lui aurait jamais été remise en main propre.</w:t>
      </w:r>
    </w:p>
    <w:p>
      <w:r>
        <w:rPr>
          <w:b/>
        </w:rPr>
        <w:t>E. 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w:t>
      </w:r>
    </w:p>
    <w:p>
      <w:r>
        <w:t>- 7 -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et les références citées ; TF 6B_261/2020 et 6B_270/2020 précités consid. 4.2).</w:t>
      </w:r>
    </w:p>
    <w:p>
      <w:r>
        <w:rPr>
          <w:b/>
        </w:rPr>
        <w:t>E. 3.3</w:t>
      </w:r>
    </w:p>
    <w:p>
      <w:r>
        <w:t>En l’occurrence, le procureur a considéré qu’il était douteux que le courrier d'avertissement remis au plaignant puisse être qualifié de titre au sens du Code pénal. Il n’était en outre pas inconcevable que ce</w:t>
      </w:r>
    </w:p>
    <w:p>
      <w:r>
        <w:t>- 8 - document ait été rédigé le 11 janvier 2019 et qu'il ait été remis au plaignant en main propre quelques jours plus tard. La différence entre ces deux dates n'était à l'évidence pas constitutive d'une falsification. L'adresse figurant en en-tête de ce courrier, quand bien même serait-elle inexacte, relevait au pire d'une erreur de plume de l'expéditeur et ne suffisait pas non plus à qualifier l'écrit en question de faux. Enfin, le contenu même de ce document, soit la question des changements de planning sans validation de la hiérarchie, contestée par le plaignant, avait été porté devant le Tribunal de prud'hommes qui s’était prononcé en défaveur de N.________ le 4 novembre 2020. Il s'agissait manifestement d'un désaccord professionnel entre les parties, étant précisé que P.________ n’était pas la seule à avoir signé la lettre d'avertissement du 11 janvier 2019. Cette appréciation ne prête pas le flanc à la critique et doit être confirmée. L’adresse mentionnée dans le document litigieux et la date de sa remise au plaignant ne constituent nullement des éléments pertinents pour apprécier s’il s’agit d’un faux. Par ailleurs, comme l’a considéré le procureur, il paraît douteux qu’une simple lettre d’avertissement, signée par des représentants de l’employeur de l’intéressé, puisse constituer un titre. Quoi qu’il en soit, ce document, dans l’hypothèse où il n’aurait pas été remis en main propre au plaignant contrairement à ce qu’il affirme, constituerait un faux intellectuel. Or, dans un tel cas, la loi exige que le titre ait une valeur probante accrue, ce qui n’est manifestement pas le cas d’une lettre d’avertissement. Force est donc de considérer que si cette lettre n’a pas été remise en main propre au plaignant contrairement à l’inscription manuscrite qui y figure, il ne s’agirait tout au plus que d’un mensonge écrit non punissable pénalement. Partant, c’est à juste titre que le procureur a considéré que les éléments constitutifs de l’infraction de faux dans les titres n’étaient à l’évidence par réunis. Mal fondé, le recours doit être rejeté sur ce point.</w:t>
      </w:r>
    </w:p>
    <w:p>
      <w:r>
        <w:rPr>
          <w:b/>
        </w:rPr>
        <w:t>E. 4</w:t>
      </w:r>
    </w:p>
    <w:p>
      <w:r>
        <w:t>Le recourant maintient avoir été diffamé par P.________ dans le formulaire de dénonciation qu’elle a adressé à la police le 18 décembre</w:t>
      </w:r>
    </w:p>
    <w:p>
      <w:r>
        <w:t>- 9 - 2019. Il soutient en substance qu’il n’aurait jamais suivi de traitement psychiatrique et qu’il aurait été drogué. Le procureur aurait été de mauvaise foi en sélectionnant certains passages de ses écrits dans sa motivation tout en omettant d’en retranscrire d’autres. Le procureur l’aurait en outre insulté en mentionnant que sa plainte était prolixe et inintelligible.</w:t>
      </w:r>
    </w:p>
    <w:p>
      <w:r>
        <w:rPr>
          <w:b/>
        </w:rPr>
        <w:t>E. 4.1</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Les art. 173 ss CP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et la jurisprudence citée). L'honneur protégé par le droit pénal est conçu de façon générale comme un droit au respect, qui est lésé par toute assertion propre à exposer la personne visée au mépris en sa qualité d'être humain (ATF 132 IV 112 consid. 2.1 et la jurisprudence citée). Il y a atteinte à l'honneur si on évoque une infraction pénale ou un comportement clairement réprouvé par les conceptions morales généralement admises (Corboz, Les infractions en droit suisse, vol. 1, 3e éd., 2010, n° 11 ad art. 173 CP ; cf. ATF 116 IV 205 consid. 2 et ATF 103 IV 161 consid. 2). En particulier, l’évocation d'une maladie n’est pas une atteinte à l'honneur si la personne visée n’est en aucun cas</w:t>
      </w:r>
    </w:p>
    <w:p>
      <w:r>
        <w:t>- 10 - responsable d'un comportement méprisable lors de la survenance ou des effets de la maladie. En revanche, il y a atteinte à l’honneur si l’auteur sous-entend un comportement méprisable que la personne visée pouvait maîtriser (Dupuis et al. [éd.], Petit commentaire, Code pénal, 2e éd., Bâle 2017, n. 7 ad rem. prél. aux art. 173 à 178 CP et les références citées).</w:t>
      </w:r>
    </w:p>
    <w:p>
      <w:r>
        <w:rPr>
          <w:b/>
        </w:rPr>
        <w:t>E. 4.2</w:t>
      </w:r>
    </w:p>
    <w:p>
      <w:r>
        <w:t>;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classement. Le juge de la dénonciation calomnieuse est, sauf faits ou moyens de preuve nouveaux, lié par une telle décision (ATF 136 IV 170 consid. 2.1 ; TF 6B_483/2020 précité consid. 1.1.1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w:t>
      </w:r>
    </w:p>
    <w:p>
      <w:r>
        <w:rPr>
          <w:b/>
        </w:rPr>
        <w:t>E. 5</w:t>
      </w:r>
    </w:p>
    <w:p>
      <w:r>
        <w:t>Le recourant soutient que P.________ se serait rendue coupable de dénonciation calomnieuse en déclarant à la police qu’elle se sentait harcelée par lui. Il conteste l’avoir harcelée et allègue, entre autres, qu’il ne lui aurait envoyé que deux courriels en l’espace de sept mois. Il soutient aussi que le médiateur de la Police cantonale aurait menacé de lui retirer son permis de travail s’il ne présentait pas ses excuses à P.________.</w:t>
      </w:r>
    </w:p>
    <w:p>
      <w:r>
        <w:rPr>
          <w:b/>
        </w:rPr>
        <w:t>E. 5.1</w:t>
      </w:r>
    </w:p>
    <w:p>
      <w:r>
        <w:t>Aux termes de l’art. 303 al. 1 CP, se rend coupable de dénonciation calomnieuse celui qui aura dénoncé à l’autorité, comme auteur d’un crime ou d’un délit, une personne qu’il savait innocente, en vue de faire ouvrir contre elle une poursuite pénale.</w:t>
      </w:r>
    </w:p>
    <w:p>
      <w:r>
        <w:t>- 11 - Sur le plan objectif, cette norme suppose qu'une communication imputant faussement à une personne la commission d'un crime ou d'un délit ait été adressée à l'autorité (cf. ATF 132 IV 20 consid.</w:t>
      </w:r>
    </w:p>
    <w:p>
      <w:r>
        <w:rPr>
          <w:b/>
        </w:rPr>
        <w:t>E. 5.2</w:t>
      </w:r>
    </w:p>
    <w:p>
      <w:r>
        <w:t>En l’espèce, aucune poursuite pénale n’a été ouverte contre le recourant, la médiation entreprise par la Police cantonale vaudoise ayant abouti. Le recourant n’a dès lors pas été libéré par un jugement d’acquittement ou par un classement. La condition de la constatation juridique de l’innocence requise par l’art. 303 CP n’est dès lors par réalisée. Mal fondé, le recours doit être rejeté sur ce point également.</w:t>
      </w:r>
    </w:p>
    <w:p>
      <w:r>
        <w:t>- 12 -</w:t>
      </w:r>
    </w:p>
    <w:p>
      <w:r>
        <w:rPr>
          <w:b/>
        </w:rPr>
        <w:t>E. 6</w:t>
      </w:r>
    </w:p>
    <w:p>
      <w:r>
        <w:t>En définitive, le recours, manifestement mal fondé, doit être rejeté sans échange d’écritures (art. 390 al. 2 CPP) et l’ordonnance attaquée confirmée. En demandant d’être dispensé du paiement des suretés requises le 22 avril 2021, le recourant a indiqué qu’il était sans revenu sans toutefois formellement requérir l’octroi de l’assistance judiciaire gratuite. Quoi qu’il en soit, les conditions d’un tel octroi ne sont manifestement pas réunies, dans la mesure où le recours était d’emblée dénué de toute chance de succès (art. 136 al. 1 let. b CPP ; CREP 8 mai 2020/346 consid. 6 et les références citées).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29 mars 2021 est confirmée. III. La requête d’assistance judiciaire est rejetée. IV. Les frais d’arrêt, par 1’210 fr. (mille deux cent dix francs), sont mis à la charge de N.________. V. L’arrêt est exécutoire. Le président : La greffière :</w:t>
      </w:r>
    </w:p>
    <w:p>
      <w:r>
        <w:t>- 13 - Du Le présent arrêt, dont la rédaction a été approuvée à huis clos, est notifié, par l'envoi d'une copie complète, à : - M. N.________, - Ministère public central,</w:t>
      </w:r>
    </w:p>
    <w:p>
      <w:r>
        <w:t>- 14 -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