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PE21.003720 vom 12. Dezember 2023</w:t>
      </w:r>
    </w:p>
    <w:p>
      <w:r>
        <w:t>VD Tribunal cantonal, 2023-12-12, FR</w:t>
      </w:r>
    </w:p>
    <w:p>
      <w:r>
        <w:rPr>
          <w:b/>
        </w:rPr>
        <w:t xml:space="preserve">Quelle: </w:t>
      </w:r>
      <w:r>
        <w:t>https://mcp.opencaselaw.ch/entscheid/vd_gerichte_PE21.003720</w:t>
      </w:r>
    </w:p>
    <w:p>
      <w:r>
        <w:t>FR: VD_GERICHTE PE21.003720 du 12 décembre 2023</w:t>
      </w:r>
    </w:p>
    <w:p>
      <w:r>
        <w:t>IT: VD_GERICHTE PE21.003720 del 12 dicembre 2023</w:t>
      </w:r>
    </w:p>
    <w:p>
      <w:pPr>
        <w:pStyle w:val="Heading2"/>
      </w:pPr>
      <w:r>
        <w:t>Erwägungen</w:t>
      </w:r>
    </w:p>
    <w:p>
      <w:r>
        <w:rPr>
          <w:b/>
        </w:rPr>
        <w:t>E. 4</w:t>
      </w:r>
    </w:p>
    <w:p>
      <w:r>
        <w:t>S’agissant du cas n° 1 de l’acte d’accusation, l’appelant conteste la qualification de lésions corporelles simples. Elle soutient que K.________ se serait fait un bleu en se cognant et que cette atteinte ne pourrait être qualifiée que de voies de fait au sens de l’art. 126 CP.</w:t>
      </w:r>
    </w:p>
    <w:p>
      <w:r>
        <w:rPr>
          <w:b/>
        </w:rPr>
        <w:t>E. 4.1.1</w:t>
      </w:r>
    </w:p>
    <w:p>
      <w:r>
        <w:t>Aux termes de l’art. 123 ch. 1 CP, quiconque, intentionnellement, fait subir à une personne une autre atteinte à l’intégrité corporelle ou à la santé est puni sur plainte puni d’une peine privative de liberté de trois ans au plus ou d’une peine pécuniaire. L’art. 123 CP réprime les lésions du corps humain ou de la santé qui ne peuvent être qualifiées de graves au sens de l’art. 122 CP. Cette disposition protège non seulement l’intégrité corporelle, mais aussi la santé psychique (ATF 119 IV 25 consid. 2a).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w:t>
      </w:r>
    </w:p>
    <w:p>
      <w:r>
        <w:t>- 22 -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4.1.2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4.2</w:t>
      </w:r>
    </w:p>
    <w:p>
      <w:r>
        <w:t>En l’occurrence, comme on l’a vu ci-dessus, il est établi que l’appelante a frappé à plusieurs reprises ses enfants B.W.________ et K.________, qui, au moment des faits, étaient âgés respectivement de 1 an et 3 ans. Elle les a frappés au visage, leur occasionnant des hématomes. Vu leur nature, de tels coups ne sont pas de peu d’importance et leur impact, tant physique que psychique, ne peut être nié, ce d’autant qu’ils ont été portés sur des enfants en bas âge. Ces hématomes ont, sans l’ombre d’une doute, causé une douleur non négligeable et ce, même à considérer que la peau d’un enfant serait plus délicate que celle d’un</w:t>
      </w:r>
    </w:p>
    <w:p>
      <w:r>
        <w:t>- 23 - adulte et marquerait davantage. Il s’ensuit que la condamnation de l’appelante pour lésions corporelles simples en relation avec le cas n° 1 de l’acte d’accusation doit être confirmée.</w:t>
      </w:r>
    </w:p>
    <w:p>
      <w:r>
        <w:rPr>
          <w:b/>
        </w:rPr>
        <w:t>E. 5</w:t>
      </w:r>
    </w:p>
    <w:p>
      <w:r>
        <w:t>L’appelant conteste sa condamnation pour violation du devoir d'assistance ou d'éducation en relation avec le cas n° 1 de l’acte d’accusation.</w:t>
      </w:r>
    </w:p>
    <w:p>
      <w:r>
        <w:rPr>
          <w:b/>
        </w:rPr>
        <w:t>E. 5.1</w:t>
      </w:r>
    </w:p>
    <w:p>
      <w:r>
        <w:t>L'art. 219 al. 1 CP punit d'une peine privative de liberté de trois ans au plus ou d'une peine pécuniaire quiconque viole son devoir d'assister ou d'élever une personne mineure dont il met ainsi en danger le développement physique ou psychique, ou qui aura manqué à ce devoir. Cette disposition protège le développement physique et psychique du mineur, à savoir d'une personne âgée de moins de 18 ans (ATF 126 IV 136 consid. 1b ; ATF 125 IV 64 consid. 1).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(TF 6B_1100/2016 du 25 octobre 2017 consid. 3.2; TF 6B_457/2013 du 29 octobre 2013 consid. 1.1.3 et 1.1.4; TF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w:t>
      </w:r>
    </w:p>
    <w:p>
      <w:r>
        <w:t>- 24 -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Sur le plan subjectif, l'auteur peut avoir agi intentionnellement – dans ce cas, le dol éventuel suffit – ou par négligence (ATF 125 IV 64 consid. 1a).</w:t>
      </w:r>
    </w:p>
    <w:p>
      <w:r>
        <w:rPr>
          <w:b/>
        </w:rPr>
        <w:t>E. 5.2</w:t>
      </w:r>
    </w:p>
    <w:p>
      <w:r>
        <w:t>Il est établi que A.W.________ a frappé à réitérées reprises ses enfants K.________ et B.W.________ (supra consid. 3.2), leur occasionnant en particulier des hématomes constitutifs de lésions corporelles simples (supra consid. 4.2). De telles maltraitances, de par leur caractère répété, sont manifestement de nature à causer chez de jeunes enfants des séquelles sur le plan psychique et mettre concrètement en danger leur développement. On ajoutera que le jugement entrepris décrit parfaitement les mesures mises en place pour les enfants ainsi que les difficultés auxquelles ceux-ci ont été confrontés (cf. jgt, p. 21). A n’en point douter, une partie des troubles constatés sont des conséquences des comportements maltraitants adoptés par l’appelante. Les éléments objectifs de l’infraction de violation du devoir d’assistance et d’éducation sont donc réalisés. De plus, comme l’a retenu le premier juge, l’appelante avait conscience de la portée de ses actes, dès lors que la DGEJ, qui la suivait depuis 2009 concernant sa fille [...], lui avait maintes fois rappelé que des comportements maltraitants pouvaient entraîner des conséquences néfastes sur le développement de ses enfants. Partant, la condamnation de A.W.________ pour violation du devoir d'assistance ou d'éducation en relation avec le cas n° 1 de l’acte d’accusation doit être confirmée.</w:t>
      </w:r>
    </w:p>
    <w:p>
      <w:r>
        <w:rPr>
          <w:b/>
        </w:rPr>
        <w:t>E. 6</w:t>
      </w:r>
    </w:p>
    <w:p>
      <w:r>
        <w:t>L’appelante conteste le caractère intentionnel des blessures causées aux doigts de sa fille, F.________ (cas n° 3 de l’acte d’accusation). Elle explique avoir toujours eu pour habitude de lui couper les ongles</w:t>
      </w:r>
    </w:p>
    <w:p>
      <w:r>
        <w:t>- 25 - extrêmement courts pour éviter qu'elle ne se gratte et ce, conformément aux directives qu’elle dit avoir reçues du pédiatre. A aucun instant, elle n’aurait eu l’intention de lui faire du mal, ni même par dol éventuel. Elle reconnait toutefois avoir commis une « erreur » et avoir été dépassée par la complexité de la prise en charge de sa fille, polyhandicapée. Elle indique en outre avoir été stressée au moment de couper les ongles de F.________, en rappelant à cet égard ses déclaration lors des débats de première instance, à savoir : « F.________ avait eu la diarrhée ce matin-là et elle avait mis ses mains dans l'anus et il y avait des selles sous les ongles. Je ne pouvais pas l'envoyer comme ça à l'école car je me suis dit que ça allait me retomber dessus que je ne la lave pas, donc avec les nerfs, je me suis dit que j'allais couper. Je ne voulais pas la punir, c'était le stress et les nerfs. »</w:t>
      </w:r>
    </w:p>
    <w:p>
      <w:r>
        <w:rPr>
          <w:b/>
        </w:rPr>
        <w:t>E. 6.1</w:t>
      </w:r>
    </w:p>
    <w:p>
      <w:r>
        <w:t>Selon l’art. 12 al. 1 CP, agit intentionnellement quiconque commet un crime ou un délit avec conscience et volonté. L’auteur agit déjà intentionnellement lorsqu’il tient pour possible la réalisation de l’infraction et l’accepte au cas où celle-ci se produirait.</w:t>
      </w:r>
    </w:p>
    <w:p>
      <w:r>
        <w:rPr>
          <w:b/>
        </w:rPr>
        <w:t>E. 6.2</w:t>
      </w:r>
    </w:p>
    <w:p>
      <w:r>
        <w:t>En l’occurrence, il n’existe aucun doute raisonnable quant au caractère intentionnel des lésions causées aux doigts de l’enfant. L’appelante n’est pas crédible lorsqu’elle affirme en substance que ces lésions seraient tout au plus accidentelles. Elle ne l’est pas davantage lorsqu’elle prétend, aujourd’hui encore, n’avoir blessé qu’un seul ongle (cf. supra p. 3). Il suffit, pour s’en convaincre, de regarder les photographies des mains de F.________ (cf. P. 6/2, 6/3, 18/1 et 18/2). Le rapport de constat établi le 5 janvier 2021 indique en outre que l’enfant présentait, à son arrivée à l’école, des plaies de sang frais à chacun de ses dix doigts, que tous ses ongles avaient été coupés à la limite de la matrice voire plus bas pour certains et que l’un des deux majeurs saignait encore (P. 6/4). La thèse de l’accident n’est pas soutenable. Si on peut admettre qu’il arrive de déraper en coupant un ongle et de causer accidentellement une lésion à un doigt, le fait que la totalité des doigts des deux mains aient été blessés démontre que l’appelante était fermement déterminée à causer des lésions corporelles. De plus, il faut également retenir qu’il est</w:t>
      </w:r>
    </w:p>
    <w:p>
      <w:r>
        <w:t>- 26 - invraisemblable que, malgré ses handicaps, la fillette n’ait pas pleuré ou en tout cas exprimé de la douleur lorsque ses ongles ont été sectionnés de la sorte. Cela ressort du reste du rapport de constat précité lequel fait état d’algies. Or, nonobstant les douleurs qu’elle causait à sa fille, l’appelante, qui ne pouvait qu’être consciente de la portée et des effets de son acte, s’est acharnée sur elle, en persistant à lui couper tous les ongles. L'élément subjectif de l'infraction de lésions corporelles simples, qui suppose un comportement intentionnel, est donc également réalisé. Il importe peu de connaître les motivations exactes de l’appelante, même si, avec le premier juge, on peut raisonnablement penser qu’elle a été dépassée par la lourde prise en charge requise pour F.________ et que, par impatience et frustration, elle a déchargé sa colère sur celle-ci en recourant à la brutalité.</w:t>
      </w:r>
    </w:p>
    <w:p>
      <w:r>
        <w:rPr>
          <w:b/>
        </w:rPr>
        <w:t>E. 7</w:t>
      </w:r>
    </w:p>
    <w:p>
      <w:r>
        <w:t>L’appelante conteste sa condamnation pour violation du devoir d’assistance ou d’éducation s’agissant de F.________. Elle soutient que sa fille aurait, compte tenu de ses multiples handicaps, l’habitude d’être manipulée et n’aurait pas la capacité de comprendre si l'un ou l'autre élément de son anatomie mériterait plus de considération qu'un autre. Elle n'aurait pas non plus la capacité de comprendre quelle intervention serait nécessaire ou non. Il ne serait donc pas possible de retenir des séquelles durables, d'ordre physique ou psychique, et encore moins une mise en danger de son développement, F.________ ne semblant pas être en mesure d'évoluer comme une enfant n'ayant pas son polyhandicap.</w:t>
      </w:r>
    </w:p>
    <w:p>
      <w:r>
        <w:rPr>
          <w:b/>
        </w:rPr>
        <w:t>E. 7.1</w:t>
      </w:r>
    </w:p>
    <w:p>
      <w:r>
        <w:t>Les principes relatifs à l’infraction de violation du devoir d’assistance ou d’éducation ont été rappelés ci-dessus (supra consid. 5.1).</w:t>
      </w:r>
    </w:p>
    <w:p>
      <w:r>
        <w:rPr>
          <w:b/>
        </w:rPr>
        <w:t>E. 7.2</w:t>
      </w:r>
    </w:p>
    <w:p>
      <w:r>
        <w:t>Il y a tout d’abord lieu de relever que, dans sa déclaration d’appel, A.W.________ ne remet pas expressément en question les faits visés au cas n° 2 et 4 de l’acte d’accusation, dont la matérialité est établie par pièces. On peut à cet égard se référer à ce qui figure aux pages 17 à 19 du jugement entrepris. Ces faits participent évidemment à la maltraitance de F.________. On ne saurait ensuite suivre le raisonnement de l’appelante selon lequel, en substance, le handicap de sa fille exclurait</w:t>
      </w:r>
    </w:p>
    <w:p>
      <w:r>
        <w:t>- 27 - d’emblée qu’elle puisse voir son développement concrètement mis en danger au sens de l’art. 219 CP. Un tel raisonnement, parfaitement insoutenable, aurait pour conséquence d’exclure du champ d’application de cette disposition tout acte de maltraitance commis sur des enfants en bas âge, ceux-ci n’étant, eux non plus, pas en mesure de comprendre la nature des manipulations dont ils font l’objet ou encore, pour reprendre les mots de l’appelante, de savoir si une intervention les concernant est nécessaire ou non. Au demeurant, le premier juge n’a pas ignoré le handicap de F.________, puisqu’il a constaté, à juste titre, que, même si la jeune fille ne parlait pas et que ses capacités d’exprimer ses émotions étaient extrêmement limitées, elle n’en était pas moins capable de ressentir l’inconfort et la douleur, et qu’elle avait donc forcément ressenti comme autant d’agressions les blessures infligées brutalement par sa mère aux doigts de ses deux mains, ainsi que les examens répétés de son sexe et de son rectum par le médecins de l’hôpital. Il a ainsi retenu qu’indépendamment des troubles du développement que celle-ci, de même que K.________ et B.W.________, présentaient déjà auparavant à des degrés divers, il ne faisait pas de doute que les maltraitances répétées de la mère avaient causé chez eux des séquelles sur le plan psychique et que son comportement avait mis concrètement en danger leur développement. Sur le plan subjectif, il a constaté que l'appelante avait tout à fait conscience de la portée de ses actes, soulignant sur ce point que celle-ci était suivie depuis 2009 au moins par la DGEJ concernant sa fille [...] (cf. P. 13) et qu’elle avait été maintes fois sensibilisée sur les conséquences des comportements maltraitants sur le développement des enfants. Sans chercher nécessairement à faire du tort à ses enfants, elle avait créé et maintenu un contexte de maltraitance, dont elle s’était accommodée, sans se soucier de leur bien-être (cf. jgt. pp. 21-22). Comme on l’a vu, l’entier des faits retenus à l’encontre de l'appelante par le premier juge est établi, y compris d’être à l’origine des lésions constatées sur les doigts de F.________. Il s’agit incontestablement, pour chacun des actes retenus, d’une pluralité de mises en danger concrètes. Par ailleurs, dans son rapport d’expertise, la Dre [...] a évoqué la relation que l’appelante avait développée avec ses enfants. Elle a</w:t>
      </w:r>
    </w:p>
    <w:p>
      <w:r>
        <w:t>- 28 - notamment exposé ce qui suit : « Il ne faudrait pas comprendre les troubles des enfants, en particulier K.________ et de B.W.________, comme étant la conséquence des dysfonctionnements de Mme, mais il est clair que le fait qu'elle ne puisse leur offrir stabilité et cohérence va péjorer leur développement à moyen et long terme, ceci d'autant plus que leurs besoins vont se complexifier » (P. 9/11, p. 42). Ce constat vaut a fortiori s’agissant de l’usage de la violence. Enfin, il ne fait aucun doute non plus que l’élément subjectif de l’infraction soit réalisé. En effet, l’appelante a agi durablement, durant plusieurs années, et à réitérées reprises au préjudice de ses enfants, en particulier de F.________, en leur infligeant diverses formes de maltraitance. Elle ne pouvait en outre ignorer qu’elle causait à ses enfants de graves traumatismes qui entraîneraient des conséquences sur leur développement Il s’ensuit que la condamnation de l’appelante pour violation du devoir d’assistance ou d’éducation en relation avec les cas n° 2, 3 et 4 de l’acte d’accusation doit être confirmée.</w:t>
      </w:r>
    </w:p>
    <w:p>
      <w:r>
        <w:rPr>
          <w:b/>
        </w:rPr>
        <w:t>E. 8</w:t>
      </w:r>
    </w:p>
    <w:p>
      <w:r>
        <w:t>L’appelante, qui conclut à son acquittement, ne conteste pas à titre subsidiaire le peine privative de liberté de 180 jours prononcée à son encontre. Vérifiée d’office, celle-ci est adéquate. Elle a été fixée en application des critères légaux, tels que définis à l’art. 47 CP, et conformément à la culpabilité de l’appelante, qui doit être qualifiée d’importante. Sur ce point, il peut être renvoyé, par adoption de motifs, à la motivation du jugement attaqué (art. 82 al. 4 CPP ; jgt, pp. 22-23), lequel tient compte de l’ensemble des circonstances à charge et à décharge, ainsi que d’une légère diminution de la responsabilité pénale. Les antécédents de l’appelante, son discours de déni, toujours présent lors des débats d’appel, et son absence quasi-totale de remise en question imposent le prononcé d’une peine privative de liberté pour des motifs évidents de prévention spéciale. Cette peine ne peut être que ferme, l’appelante ayant récidivé alors qu’elle avait été condamnée, le 9 août 2018, pour des faits de même nature, soit pour avoir commis des actes de maltraitance sur sa fille [...].</w:t>
      </w:r>
    </w:p>
    <w:p>
      <w:r>
        <w:t>- 29 -</w:t>
      </w:r>
    </w:p>
    <w:p>
      <w:r>
        <w:rPr>
          <w:b/>
        </w:rPr>
        <w:t>E. 9</w:t>
      </w:r>
    </w:p>
    <w:p>
      <w:r>
        <w:t>Dans la mesure où elle estime devoir être libérée de toute infraction, l’appelante conteste les allocations pour tort moral allouées à K.________, B.W.________ et F.________. En l’occurrence, cette conclusion repose sur la prémisse non- réalisée d’un acquittement. Elle doit dès lors être rejetée. Au surplus, l’appelante ne conteste pas les montants alloués à titre de réparation du tort moral en tant que tels. A cet égard, la motivation du premier juge est adéquate et peut être confirmée par adoption de motifs (cf. art. 82 al. 4 CPP ; jgt, p. 25).</w:t>
      </w:r>
    </w:p>
    <w:p>
      <w:r>
        <w:rPr>
          <w:b/>
        </w:rPr>
        <w:t>E. 10</w:t>
      </w:r>
    </w:p>
    <w:p>
      <w:r>
        <w:t>En définitive, l’appel doit être rejeté et le jugement entrepris confirmé. Me Carola Massatsch, défenseur d’office de A.W.________, a produit une liste d’opérations dans laquelle elle indique une activité nécessaire d’avocat de 18h30, ce qui est adéquat, sous réserve de la durée de l’audience d’appel annoncée qui sera ramenée à 1h15. Ainsi, c’est une activité nécessaire d’avocat de 17h45, qui sera retenue, soit 10 minutes pour 2023 et 17h35 pour 2024. En définitive, l’indemnité de défenseur d’office doit être fixée à 30 fr. (0h10 x 180 fr.), plus des débours forfaitaires, par 60 centimes, et la TVA à 7,7 %, par 2 fr. 35, soit à un total de 32 fr. 95 pour les opérations effectuées jusqu’au 31 décembre 2023, et à 3’165 fr. (17h35 x 180 fr.), plus une vacation, par 120 fr., les débours, par 63 fr. 30, et la TVA à 8,1 %, par 271 fr. 20, soit à un total de 3’619 fr. 50, pour les opérations effectuées depuis le 1er janvier 2024. Au total, l’indemnité due sera donc fixée à 3’652 fr. 45, TVA et débours inclus. Me Isabelle Jaques, conseil juridique gratuit de K.________, B.W.________ et F.________ a produit une liste d’opérations dans laquelle elle indique une activité nécessaire d’avocat de 5h17, ce qui est adéquat. Il sera encore ajouté 1h15 pour tenir compte de la durée des débats d’appel. Ainsi, c’est une activité nécessaire d’avocat de 6h32, qui sera retenue, soit 0h03 pour 2023 et 6h29 pour 2024. L’indemnité de</w:t>
      </w:r>
    </w:p>
    <w:p>
      <w:r>
        <w:t>- 30 - défenseur d’office doit ainsi être fixée à 9 fr. (0h03 x 180 fr.), plus des débours forfaitaires, par 0 fr. 20, et la TVA à 7,7 %, par 70 centimes, soit à un total de 9 fr. 90 pour les opérations effectuées jusqu’au 31 décembre 2023, et à 1’167 fr. (6h29 x 180 fr.), plus une vacation à 120 fr., les débours, par 23 fr. 35, et la TVA à 8,1 %, par 106 fr. 15, soit à un total de 1'416 fr. 50, pour les opérations effectuées depuis le 1er janvier 2024. Au total, l’indemnité due sera donc fixée à 1'426 fr. 40, TVA et débours inclus. Vu l’issue de la cause, les frais de la procédure d’appel, constitués de l’émolument de jugement et d’audience, par 3’010 fr. (art. 21 al. 1 et 2 TFIP [tarif des frais de procédure et indemnités en matière pénale du 28 septembre 2010 ; BLV 312.03.1]), et des indemnités dues au défenseur d’office et au conseil juridique gratuit, par 5'078 fr. 85, seront mis à la charge de A.W.________, qui succombe. A.W.________ sera tenue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