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PE21.003520 vom 2. September 2021</w:t>
      </w:r>
    </w:p>
    <w:p>
      <w:r>
        <w:t>VD Tribunal cantonal, 2021-09-02, FR</w:t>
      </w:r>
    </w:p>
    <w:p>
      <w:r>
        <w:rPr>
          <w:b/>
        </w:rPr>
        <w:t xml:space="preserve">Quelle: </w:t>
      </w:r>
      <w:r>
        <w:t>https://mcp.opencaselaw.ch/entscheid/vd_gerichte_PE21.003520</w:t>
      </w:r>
    </w:p>
    <w:p>
      <w:r>
        <w:t>FR: VD_GERICHTE PE21.003520 du 2 septembre 2021</w:t>
      </w:r>
    </w:p>
    <w:p>
      <w:r>
        <w:t>IT: VD_GERICHTE PE21.003520 del 2 settembre 2021</w:t>
      </w:r>
    </w:p>
    <w:p>
      <w:pPr>
        <w:pStyle w:val="Heading2"/>
      </w:pPr>
      <w:r>
        <w:t>Erwägungen</w:t>
      </w:r>
    </w:p>
    <w:p>
      <w:r>
        <w:rPr>
          <w:b/>
        </w:rPr>
        <w:t>E. 1.1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w:t>
      </w:r>
    </w:p>
    <w:p>
      <w:r>
        <w:t>- 4 - la décision attaquée (cf. art. 384 let. b CPP), à l’autorité de recours (art. 396 al. 1 CPP).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 2 LVCPP).</w:t>
      </w:r>
    </w:p>
    <w:p>
      <w:r>
        <w:rPr>
          <w:b/>
        </w:rPr>
        <w:t>E. 1.2</w:t>
      </w:r>
    </w:p>
    <w:p>
      <w:r>
        <w:t>Interjeté en temps utile devant l’autorité compétente par le prévenu qui a qualité pour recourir (art. 382 al. 1 CPP) et satisfaisant aux exigences de forme (art. 385 al. 1 CPP), le recours est recevable.</w:t>
      </w:r>
    </w:p>
    <w:p>
      <w:r>
        <w:rPr>
          <w:b/>
        </w:rPr>
        <w:t>E. 2.1</w:t>
      </w:r>
    </w:p>
    <w:p>
      <w:r>
        <w:t>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 TF 6B_365/2018 du 5 juillet 2018 consid. 2.1 ; TF 6B_289/2013 du 6 mai 2012 consid. 11.3). Dans ce</w:t>
      </w:r>
    </w:p>
    <w:p>
      <w:r>
        <w:t>- 5 - cas, l’autorité pénale qui a décerné le mandat doit être informée sans délai de l’empêchement, déjà avant la date de la comparution s’il est connu d’avance ; lorsque l’empêchement – par exemple la survenance d’un accident grave – ne permet pas au cité de se manifester sur le champ, il le fera aussitôt l’impossibilité objectivement levée ; la personne citée doit spontanément communiquer à l’autorité pénale les motifs de son empêchement ; constituent des motifs impérieux, au sens de la jurisprudence, un accident, une maladie grave, le service militaire ou civil, ainsi que le décès d’un proche parent ; la personne citée doit également, spontanément, présenter les pièces justificatives qui étayent son empêchement (Chatton/Droz in : Jeanneret/Kuhn/Perrier Depeursinge [éd.], Commentaire romand, Code de procédure pénale suisse, 2e éd., Bâle 2019, n. 3-4 ad art. 205 CPP et les réf. cit.).</w:t>
      </w:r>
    </w:p>
    <w:p>
      <w:r>
        <w:rPr>
          <w:b/>
        </w:rPr>
        <w:t>E. 2.2</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Ainsi, en cas de défaut, l’opposition est réputée retirée alors même qu’elle avait été valablement déposée et l’ordonnance pénale acquiert ainsi autorité de la chose jugée (Moreillon/Parein-Reymond, Petit commentaire, Code de procédure pénale, 2e éd., Bâle 2016, n. 6 ad art. 355 CPP).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w:t>
      </w:r>
    </w:p>
    <w:p>
      <w:r>
        <w:t>- 6 -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6B_1297/2018 du 6 février 2019 consid. 1.1 et les réf. cit. ; TF 6B_152/2013 du 27 mai 2013 consid. 4.5, in : Pra 2013 n. 99 pp. 763 ss). La citation à comparaître doit mentionner expressément les conséquences du défaut et avoir été valablement notifiée. Seul le prévenu dûment informé peut valablement renoncer à la protection judiciaire garantie par l’art. 29a Cst. (Constitution fédérale de la Confédération suisse du 18 avril 1999 ; RS 101) en lien avec l’art. 30 Cst. (cf. ATF 142 IV 158 consid. 3.4 et les réf. cit., JdT 2017 IV 46 ; ATF 140 IV 82 consid. 2.6, JdT 2014 IV 301). Comme le défaut peut aboutir à une perte de toute protection juridique, alors que l'opposant voulait une telle protection (ATF 140 IV 82, JdT 2014 IV 301), il y a lieu de s'assurer que l'on peut déduire de bonne foi que l'opposant a eu connaissance de ses droits et qu'il renonce à comparaître en connaissance de cause, l'abus de droit étant réservé (ATF 146 IV 30 ; ATF 142 IV 158 ; ATF 142 IV 82).</w:t>
      </w:r>
    </w:p>
    <w:p>
      <w:r>
        <w:rPr>
          <w:b/>
        </w:rPr>
        <w:t>E. 2.3</w:t>
      </w:r>
    </w:p>
    <w:p>
      <w:r>
        <w:t>En l’espèce, le recourant explique que « la convocation du Tribunal d’arrondissement est certes arrivée à bonne destination. Cependant, le courrier a été prélevé par ma compagne, laquelle a malheureusement détruit, voir égaré ce courrier avec d’autres papiers. » Il ajoute qu’il n’a jamais pu prendre connaissance de cette convocation et se rendre à l’audience pour défendre ses intérêts. Le motif invoqué ne constitue pas un cas de force majeure au sens de la jurisprudence rappelée ci-dessus (cf. consid. 2.2 supra) qui pourrait faire échec à l’application de l’art. 256 al. 4 CPP. En effet, cette situation est imputable au recourant dès lors qu’il a autorisé sa compagne à réceptionner son courrier. Par ailleurs, le recourant avait demandé en avril 2021 le report de l’audience, initialement fixée au 10 mai 2021, de sorte qu’il aurait dû se préoccuper de la nouvelle date d’audience, ce qu’il n’a pas fait. Pour le surplus, le grief formulé, relatif à l’absence de citation à comparaitre du</w:t>
      </w:r>
    </w:p>
    <w:p>
      <w:r>
        <w:t>- 7 - témoin dont le recourant avait requis l’audition, est mal fondé : en effet, il relève du fond du litige sur lequel le tribunal de première instance n’est précisément pas entré en matière compte tenu du défaut du recourant à l’audience. En définitive, le Tribunal de police de l’arrondissement de Lausanne était fondé à constater que M.________ avait fait défaut à l’audience du 18 août 2021 sans excuse valable, et qu’il a considéré que l’opposition était réputée retirée en application de l'art. 356 al. 4 CPP, déclarant l’ordonnance pénale du 26 juin 2020 définitive et exécutoire.</w:t>
      </w:r>
    </w:p>
    <w:p>
      <w:r>
        <w:rPr>
          <w:b/>
        </w:rPr>
        <w:t>E. 3</w:t>
      </w:r>
    </w:p>
    <w:p>
      <w:r>
        <w:t>Il résulte de ce qui précède que le recours doit être rejeté, sans échange d’écritures (art. 390 al. 2 CPP), et le jugement entrepris confirmé.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Par ces motifs, le juge unique prononce : I. Le recours est rejeté. II. Le jugement du 18 août 2021 est confirmé. III. Les frais d’arrêt, par 770 fr. (sept cent septante francs), sont mis à la charge de M.________. IV. L’arrêt est exécutoire. Le juge unique : La greffière :</w:t>
      </w:r>
    </w:p>
    <w:p>
      <w:r>
        <w:t>- 8 - Du Le présent arrêt, dont la rédaction a été approuvée à huis clos, est notifié, par l'envoi d'une copie complète, à : - M. M.________, - Ministère public central, et communiqué à : - Mme la Présidente du Tribunal de police de l’arrondissement de Lausanne, - Préfecture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