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PE21.003327 vom 6. März 2023</w:t>
      </w:r>
    </w:p>
    <w:p>
      <w:r>
        <w:t>VD Tribunal cantonal, 2023-03-06, FR</w:t>
      </w:r>
    </w:p>
    <w:p>
      <w:r>
        <w:rPr>
          <w:b/>
        </w:rPr>
        <w:t xml:space="preserve">Quelle: </w:t>
      </w:r>
      <w:r>
        <w:t>https://mcp.opencaselaw.ch/entscheid/vd_gerichte_PE21.003327</w:t>
      </w:r>
    </w:p>
    <w:p>
      <w:r>
        <w:t>FR: VD_GERICHTE PE21.003327 du 6 mars 2023</w:t>
      </w:r>
    </w:p>
    <w:p>
      <w:r>
        <w:t>IT: VD_GERICHTE PE21.003327 del 6 marzo 2023</w:t>
      </w:r>
    </w:p>
    <w:p>
      <w:pPr>
        <w:pStyle w:val="Heading2"/>
      </w:pPr>
      <w:r>
        <w:t>Erwägungen</w:t>
      </w:r>
    </w:p>
    <w:p>
      <w:r>
        <w:rPr>
          <w:b/>
        </w:rPr>
        <w:t>E. 4.1</w:t>
      </w:r>
    </w:p>
    <w:p>
      <w:r>
        <w:t>L’appelant a conclu à la libération du chef de prévention de recel. Il estime que les éléments constitutifs de cette infraction ne sont pas réunis en l’espèce. L’appelant soutient que lorsqu’il achète des biens pour son magasin, il demande la pièce d’identité du vendeur et remplit un formulaire avec toutes les données de l’appareil acheté, formulaire qu’il garde ensuite dans ses archives. S’agissant du téléphone volé à P.________ (Samsung Galaxy A40), l’appelant assure qu’il connaissait bien le vendeur et lui faisait donc confiance. S’agissant du téléphone et de la batterie</w:t>
      </w:r>
    </w:p>
    <w:p>
      <w:r>
        <w:t>- 15 - volés respectivement à S.________ (Samsung Galaxy A6) et Q.________ (Samsung noir et violet), l’intéressé prétend que ces objets ont été amenés à son magasin uniquement pour réparation et qu’il ne tenait pas de registre pour les réparations.</w:t>
      </w:r>
    </w:p>
    <w:p>
      <w:r>
        <w:rPr>
          <w:b/>
        </w:rPr>
        <w:t>E. 4.2</w:t>
      </w:r>
    </w:p>
    <w:p>
      <w:r>
        <w:t>Se rend coupable de recel, celui qui aura acquis, reçu en don ou en gage, dissimulé ou aidé à négocier une chose dont il savait ou devait présumer qu’un tiers l’avait obtenue au moyen d’une infraction contre le patrimoine (art. 160 CP). Le recel est une infraction intentionnelle, le dol éventuel étant suffisant. Il suffit ainsi que l’auteur sache ou doive présumer, respectivement qu’il accepte l’éventualité que la chose provienne d’une infraction contre le patrimoine (Corboz, Les infractions en droit suisse, vol. I, 3e éd., 2010, art. 160 CP, n. 48). Il en va ainsi lorsque les circonstances suggèrent le soupçon de la provenance délictueuse (ATF 129 IV 230 consid. 5.3.2 et les références citées ; ATF 101 IV 402 consid. 2).</w:t>
      </w:r>
    </w:p>
    <w:p>
      <w:r>
        <w:rPr>
          <w:b/>
        </w:rPr>
        <w:t>E. 4.3</w:t>
      </w:r>
    </w:p>
    <w:p>
      <w:r>
        <w:t>Il ressort du dossier, s’agissant du premier téléphone (no 1 de l’inventaire pièce 29), que l’appelant a déclaré qu’il avait été déposé dans son magasin en vue d’une réparation. Cependant, ce téléphone n’était accompagné d’aucun renseignement au sujet de son propriétaire et l’appelant n’a pu en fournir aucun. Concernant le second téléphone (no 3 de l’inventaire pièce 29), l’appelant a expliqué en cours d’enquête avoir acheté simultanément trois appareils à un certain [...] qui achetait et revendait fréquemment des téléphones et qu’il l’avait conservé pour en extraire des pièces. S’agissant de la batterie de téléphone dérobé (no 2 de l’inventaire pièce 29), l’appelant n’a pas été en mesure de fournir d’explication à son sujet. Il a pu néanmoins constater qu’il s’agissait d’un téléphone assemblé, ce qui a été confirmé par la plaignante, cette dernière ayant déclaré que sa batterie avait été insérée dans un téléphone qui ne lui appartenait pas.</w:t>
      </w:r>
    </w:p>
    <w:p>
      <w:r>
        <w:t>- 16 - Pour le premier téléphone, le premier juge a retenu qu’en acceptant d’acquérir un téléphone dont il ne savait rien de la provenance, l’appelant acceptait l’éventualité que celui-ci puisse avoir été volé. Pour les deux autres objets, le tribunal de première instance a retenu que l’appelant n’avait fourni aucun renseignement au sujet des clients, qu’il était difficile d’imaginer comment le propriétaire pouvait récupérer son bien après réparation si le réparateur ne gardait aucune trace du dépôt, de sorte que l’on pouvait douter des allégations de l’intéressé. Il a ainsi retenu que l’appelant les avait acquis en acceptant l’éventualité qu’ils proviennent de vols (cf. jugement p. 15). Ainsi, l’appelant savait ou devait à tout le moins présumer que ces objets avaient été volés, si bien que l’infraction de recel était réalisée (cf. jugement pp. 15 et 16). On ne peut que souscrire aux considérants du premier juge. Le prévenu a déjà été condamné trois fois pour recel par le passé et il est connu pour être un acheteur peu scrupuleux (P. 31 p. 16). Il continue à travailler avec son neveu K.________, lui-même également déjà condamné pour recel (P. 11 et 12) et alors qu’il avait été déféré séparément et condamné pour l’achat du téléphone de la plaignante F.________. Il en résulte que les allégations de l’appelant selon lesquelles il fait preuve de moins de légèreté depuis qu’il a eu des ennuis sont peu crédibles et démenties par son incapacité à retracer l’origine des derniers appareils acquis. En particulier lors de sa première audition, l’appelant a d’ailleurs admis que lorsqu’une personne sans pièce d’identité lui amenait un téléphone, il le prenait quand même s’il la connaissait et savait où la retrouver en cas de problème. Par « personne qu’il connaît », il a expliqué entendre « une personne dont il sait plus ou moins où elle habite » (P. 11 et 12). En ce qui concerne [...] (identifié par la police comme M.________ P. 31 p. 14 ; PV 8), l’appelant a dit ignorer s’il s’agissait de son nom ou de son surnom (PV 4 p. 3). Il a précisé qu’il devait habiter « vers Prilly ». L’appelant a été incapable de fournir un numéro de téléphone pouvant</w:t>
      </w:r>
    </w:p>
    <w:p>
      <w:r>
        <w:t>- 17 - être attribué avec certitude à ce [...] (ibidem). En d’autres termes, il ne sait rien de cette personne. Ce [...] faisait, selon lui, du business en achetant et revendant des téléphones. Cette activité aurait dû, non le mettre en confiance, mais au contraire susciter sa méfiance. A cela s’ajoute que l’appelant a déclaré qu’il ne se souvenait pas qui avait amené les deux autres appareils litigieux (PV 4 p. 3). Il a été incapable de retrouver la note qu’il aurait écrite au sujet du Samsung A6. Quant au téléphone noir et violet, il n’a même pas prétendu qu’il ait été apporté pour réparation (ibidem). Lors d’une audition ultérieure, il a soutenu que d’habitude les notes étaient posées sur les téléphones en réparation (PV 13 p. 2), mais qu’il n’y en avait pas pour les deux appareils litigieux. Ses déclarations sont pour le moins douteuses. Enfin, aux débats de première instance, l’appelant a reconnu avoir été négligent quant à l’achat des appareils téléphoniques d’occasion (cf. jugement p. 5). Une telle négligence, quant on achète des objets d’occasion et qui plus est au vu des condamnations antérieures qui maculent son casier judiciaire, revient à accepter l’éventualité que ceux-ci proviennent de vols. Les éléments constitutifs, tant objectifs que subjectifs, sont donc réalisés et c’est à juste titre que l’appelant a été condamné pour recel.</w:t>
      </w:r>
    </w:p>
    <w:p>
      <w:r>
        <w:rPr>
          <w:b/>
        </w:rPr>
        <w:t>E. 5.1</w:t>
      </w:r>
    </w:p>
    <w:p>
      <w:r>
        <w:t>L’appelant conteste la peine prononcée à son encontre. Il soutient plus particulièrement que la peine privative de liberté de 4 mois, s’agissant de l’infraction de recel, sur les 9 mois prononcés, serait « démesurée ». Le fait que les formulaires n’aient pas été retrouvés « et/ou » remplis ne serait « pas suffisant pour retenir qu’il avait agi de manière coupable, ce d’autant plus qu’il n’avait pas de raison de penser que ces biens avaient été dérobés ».</w:t>
      </w:r>
    </w:p>
    <w:p>
      <w:r>
        <w:t>- 18 - Par ailleurs, une peine de 3 mois pour sanctionner la violation d’une obligation d’entretien serait excessive à son sens. L’appelant rappelle qu’il a admis les faits reprochés en expliquant que la pension avait été fixée de manière trop élevée, calculée sur des revenus hypothétiques qu’il n’avait jamais réalisés. S’il n’avait pas payé, c’est parce qu’il n’en avait pas les moyens. Il n’avait pas non plus eu les moyens de consulter un avocat. Certes, il n’avait rien fait pour corriger la situation, mais il aurait finalement pris conscience que ce comportement n’était pas admissible et lui portait préjudice. Selon lui, sa culpabilité ne serait pas si lourde et le pronostic ne pourrait pas être considéré « comme à ce point défavorable ». Il ajoute que la peine prononcée lui aurait fait prendre conscience de la gravité de ses actes ; désormais, il regretterait et serait ouvert à collaborer et entamer toutes les démarches nécessaires pour rembourser les sommes dues. Il avait pris l’engagement de rembourser le BRAPA et la Caisse de compensation par acomptes mensuels. Il a ajouté qu’une peine ferme signifierait « sa condamnation sur le plan économique et social, en particulier la fermeture de son enseigne », ce qui aggraverait sa situation financière ainsi que celle de ses proches. Il ne serait pas dans l’intérêt de la société qu’il émarge à l’aide publique.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et les réf. citées).</w:t>
      </w:r>
    </w:p>
    <w:p>
      <w:r>
        <w:t>- 19 -</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 concrètement ne sont pas du même genre, elles doivent être prononcées</w:t>
      </w:r>
    </w:p>
    <w:p>
      <w:r>
        <w:t>- 20 -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148 I 295 consid. 5.9.1 ; TF 6B_395/2021 du 11 mars 2022 consid. 8).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- 21 - et en négliger d’autres qui sont pertinents (ATF 135 IV 180 consid. 2.1 ; ATF 134 IV 1 consid. 4.2.1 ; TF 6B_930/2021 du 31 août 2022 et 6B_938/2021 du 31 août 2022 consid. 5.1). Le défaut de prise de conscience de la faute peut justifier un pronostic défavorable, car seul celui qui se repent de son acte mérite la confiance que l’on doit pouvoir accorder au condamné bénéficiant du sursis (ATF 148 I 295 ; TF 6B_930/2021 du 31 août 2022 et 6B_938 du 31 août 2022 ; TF 6B_1175/2021 du 23 mai 2022 consid. 1.1).</w:t>
      </w:r>
    </w:p>
    <w:p>
      <w:r>
        <w:rPr>
          <w:b/>
        </w:rPr>
        <w:t>E. 5.3</w:t>
      </w:r>
    </w:p>
    <w:p>
      <w:r>
        <w:t>L’appréciation du premier juge est en tout point justifiée et pourra être reprise (cf jugement p. 17). Ce dernier a considéré que la culpabilité du prévenu n’était « pas anodine », que l’intéressé s’en était pris à différents biens juridiquement protégés, soit le patrimoine et la famille, qu’il avait déjà été condamné en 2016 pour violation d’une obligation d’entretien et avait continué à accumuler un arriéré pendant plus de cinq ans sans qu’aucun versement soit réalisé, que la violation n’avait cessé que par le fait que les enfants étaient désormais majeurs et avaient achevé leur formation professionnelle (cf jugement p. 17). De même, le prévenu n’avait pas tenu compte de la décision de saisie pendant plus d’un an. A charge, le Tribunal de police de l’arrondissement de Lausanne a encore tenu compte des antécédents. A décharge, le premier juge a retenu que le prévenu avait admis la majorité des faits. Le tribunal a estimé que l’infraction la plus grave, soit le recel, requérait une peine privative de liberté de 4 mois, vu les trois précédentes condamnations pour ce motif. Les autres infractions en concours devaient aussi être sanctionnées d’une peine privative de liberté, vu la durée des faits. Il se justifiait ainsi d’alourdir la peine de base de 3 mois pour l’infraction à l’art. 217 CP et de 2 mois pour l’infraction à l’art. 169 CP. Tous ces éléments permettent de confirmer la peine prononcée dans sa quotité, qui n’a rien d’excessive. Les arguments soulevés dans l’appel au sujet de la peine relèvent de la contestation des infractions elles-mêmes (ignorance de l’origine illicite des objets ; incapacité de payer les pensions). A partir du moment où les infractions</w:t>
      </w:r>
    </w:p>
    <w:p>
      <w:r>
        <w:t>- 22 - sont retenues, ces arguments sont vains. Ce qui fait regretter l’appelant, et il le dit même sans détour, ce sont les conséquences de son comportement pour lui-même. Il est en outre relevé que l’appelant, titulaire d’un CFC d’imprimeur et ayant longtemps exercé cette profession, y compris en Suisse, n’a jamais cherché un emploi stable et rémunérateur pour tenter de payer les pensions alimentaires. Il a d’autre part fait l’objet d’une poursuite fructueuse en 2020 pour les pensions impayées, ce qui démontre qu’il avait une capacité financière et qu’il renonce sciemment à payer son dû, contrairement à ce qu’il prétend. Malgré sa première condamnation en 2016 pour violation d’une obligation d’entretien, il n’a entrepris aucune démarche pour tenter de faire modifier les pensions, au motif qu’un avocat engendrait des coûts élevés, alors qu’il pouvait demander l’assistance judiciaire pour la procédure civile. Il n’a, en outre, pas respecté l’engagement de remboursement pris lors d’une audience en mars 2021 (P. 58). De même, vu ses antécédents, et l’absence totale de début de remboursement d’un quelconque montant, un sursis est exclu. Les déclarations d’intention figurant dans l’appel ne sont pas concrétisées par des actes. En outre, l’appelant, pourtant en charge d’un nouvel enfant âgé de 5 ans qu’il a eu avec sa compagne actuelle, ne fait rien pour stabiliser sa situation financière. On rappellera à l’appelant qu’il a la possibilité d’obtenir des aménagements de peine s’il a un emploi comme salarié.</w:t>
      </w:r>
    </w:p>
    <w:p>
      <w:r>
        <w:rPr>
          <w:b/>
        </w:rPr>
        <w:t>E. 6</w:t>
      </w:r>
    </w:p>
    <w:p>
      <w:r>
        <w:t>En définitive, l’appel de X.________ doit être rejeté et le jugement entrepris intégralement confirmé. Vu l’issue de la cause, les frais de la procédure d’appel, constitués en l’espèce des émoluments de jugement et d’audience par 2’160 fr. (art. 21 al. 1 et 2 TFIP [tarif des frais de procédure et indemnités en matière pénale du 28</w:t>
      </w:r>
    </w:p>
    <w:p>
      <w:r>
        <w:t>- 23 -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