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PE21.003243 vom 26. Oktober 2021</w:t>
      </w:r>
    </w:p>
    <w:p>
      <w:r>
        <w:t>VD Tribunal cantonal, 2021-10-26, FR</w:t>
      </w:r>
    </w:p>
    <w:p>
      <w:r>
        <w:rPr>
          <w:b/>
        </w:rPr>
        <w:t xml:space="preserve">Quelle: </w:t>
      </w:r>
      <w:r>
        <w:t>https://mcp.opencaselaw.ch/entscheid/vd_gerichte_PE21.003243</w:t>
      </w:r>
    </w:p>
    <w:p>
      <w:r>
        <w:t>FR: VD_GERICHTE PE21.003243 du 26 octobre 2021</w:t>
      </w:r>
    </w:p>
    <w:p>
      <w:r>
        <w:t>IT: VD_GERICHTE PE21.003243 del 26 ottobre 2021</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w:t>
      </w:r>
    </w:p>
    <w:p>
      <w:r>
        <w:t>- 13 -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 La pièce nouvelle produite avec le recours (cf. P. 0ter) est également recevable (cf. art. 389 al. 3 CPP).</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w:t>
      </w:r>
    </w:p>
    <w:p>
      <w:r>
        <w:t>- 14 -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fait valoir qu’aucun élément ne permettrait d’affirmer avec certitude que la vente d’actions aurait effectivement eu lieu le 29 janvier 2021 et soutient qu’« au contraire, il ressort des éléments de procédure que Mme J.________ tente par tout moyen de se dérober à ses obligations » ; la recourante invoque que le fait que « les titres des actions » soient restés en ses mains jusqu’à ce jour aurait rendu « toute prétendue cession inopérante » ; elle en déduit que « faute de pouvoir se prévaloir d’une cession d’actions qui satisferait à toutes les conditions légales au 29 janvier 2021 », les éléments constitutifs de l’insoumission à une décision de l’autorité seraient réalisés. Elle produit, à l’appui de son argument, une copie d’un courriel adressé le 11 novembre 2019 à J.________ depuis l’adresse « [...].ch » ayant pour objet « Share », dont la teneur est la suivante : « Dear J.________, Enclosed you will find a copy of your share certificate. Please note that the original is in our safe here in [...] ».</w:t>
      </w:r>
    </w:p>
    <w:p>
      <w:r>
        <w:rPr>
          <w:b/>
        </w:rPr>
        <w:t>E. 3.2</w:t>
      </w:r>
    </w:p>
    <w:p>
      <w:r>
        <w:t>L'art. 292 CP punit celui qui ne se sera pas conformé à une décision à lui signifiée, sous la menace de la peine sanctionnant l'infraction à cette norme, par une autorité ou un fonctionnaire compétent. Cette disposition vise en premier lieu à sauvegarder les fondements juridiques de l'injonction faite par l'autorité (TF 6B_1157/2014 du 19 janvier 2015 consid. 2.1). Indirectement, toutefois, elle protège aussi les intérêts publics ou privés pour la protection desquels l’injonction a été faite, de sorte qu’il faut aussi considérer comme lésé celui dont les</w:t>
      </w:r>
    </w:p>
    <w:p>
      <w:r>
        <w:t>- 15 - intérêts privés ont été effectivement touchés par l’acte en cause (TF 6B_449/2015 du 2 mai 2016 consid. 4.1 ; TF 1P. 600/2006 du 1er décembre 2006 consid. 3.2 ; Riedo/Boner, in : Niggli/Wiprächtiger [éd.], Basler Kommentar, Strafrecht II, 4e éd. 2019, n. 16 ad art. 292 StGB). Cette norme ne définit pas directement le comportement punissable, mais par renvoi au contenu d’une décision. La réalisation de cette infraction suppose que le comportement ordonné par l’autorité dans sa décision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 TF 6B_591/2009 du 1er février 2010). La réalisation de cette infraction suppose que l'auteur ait connaissance de l'injonction, de sa validité et de la sanction attachée au non-respect ; le dol éventuel suffit (ATF 119 IV 238 consid. 2a ; TF 6B_1073/2018 du 23 août 2019 consid. 7.1 ; TF 6B_449/2015 précité consid. 3.2). La décision contenant la menace de la peine prévue à l’art. 292 CP peut être une décision rendue à titre superprovisionnel dans le cadre d’un procès civil, qui doit en principe être motivée, même simplement, puisqu’elle est immédiatement exécutoire (Bohnet, in : Bohnet et al. [éd.], Commentaire romand, Code de procédure civile, 2e éd. 2019, n. 13 ad art. 265 CPC et les références citées ; Riedo/Boner, op. cit., nn. 227 ss ad art. 292 StGB, spéc. 234 ss et les références citées). Si la décision rendue à titre superprovisionnel est modifiée ultérieurement dans la décision provisionnelle ou par l’autorité de recours, en particulier supprimée, cette nouvelle décision a un effet « ex tunc » (art. 265 al. 2, 2e phrase, CPC ; Riedo/Boner, op. cit., nn. 237 et 241 ad art. 292 StGB et les références citées).</w:t>
      </w:r>
    </w:p>
    <w:p>
      <w:r>
        <w:rPr>
          <w:b/>
        </w:rPr>
        <w:t>E. 3.3</w:t>
      </w:r>
    </w:p>
    <w:p>
      <w:r>
        <w:t>En l’espèce, le chiffre IV du dispositif de l’ordonnance de mesures superprovisionnelles rendue le 2 février 2021 par le Président du Tribunal civil de l’arrondissement de La Côte, interdisant à J.________ de</w:t>
      </w:r>
    </w:p>
    <w:p>
      <w:r>
        <w:t>- 16 - transférer la propriété de ses 400 actions nominatives, contient la menace de la sanction prévue à l’art. 292 CP en cas d’insoumission, ce qui n’est du reste pas contesté. Dans son argumentation, la recourante perd toutefois de vue que cette ordonnance n’a pas été motivée, d’une part, et que l’interdiction qui y figurait a été expressément révoquée par l’ordonnance de mesures provisionnelles qui a été rendue le 19 mars 2021, également sous forme de dispositif seulement, d’autre part ; en effet, dans cette ordonnance, le Président du Tribunal civil de l’arrondissement de La Côte a déclaré irrecevables les écritures prises par E.________ SA à l’encontre de J.________ les 15 février et 4 mars 2021 (I) et a révoqué les chiffres I à IV de l’ordonnance de mesures superprovisionnelles du 2 février 2021 (II). Au vu des principes rappelés plus haut, cela signifie que la décision litigieuse a été révoquée avec effet « ex tunc » ou, autrement dit, qu’ayant été complètement annulée, elle ne peut plus entraîner une sanction pénale en cas d’insoumission. Pour ce motif, les éléments constitutifs de l’infraction d’insoumission à une décision de l’autorité ne sont pas remplis. Au surplus, la recourante conteste – mais implicitement car elle n’invoque pas le motif de recours de l’art. 393 al. 2 let. b CPP – les constatations de fait de l’ordonnance au sujet de l’existence d’un transfert au 29 janvier 2021 de ses 400 actions par J.________ à son fils. Or, elle n’essaie pas de démontrer le caractère erroné de la déduction faite par le Ministère public à cet égard, sur la base de deux pièces du dossier, dont une « attestation de transfert d’actions de la société E.________ SA », datée du 24 février 2021, signée par J.________ et F.________, par lesquelles ceux- ci confirment avoir conclu un contrat de vente signé le 29 janvier 2021 et portant sur les 400 actions nominatives de ladite société. Elle se contente de soutenir, en substance, que la remise du titre à l’acquéreur des actions ne pourrait avoir eu lieu puisqu’elle serait toujours en possession des certificats d’actions en cause. Or, le courriel du 11 novembre 2019 qu’elle produit à l’appui de son recours ne permet pas d’établir ce fait, mais tout au plus qu’elle était en possession dudit certificat d’actions le 11 novembre 2019 ; en outre, de toute manière, s’il est vrai que le transfert d’une action nominative – qui est un titre à ordre ex lege (cf. art. 684 al. 2, 967 al. 2 et 1145 CO [Code des obligations, loi fédérale complétant le</w:t>
      </w:r>
    </w:p>
    <w:p>
      <w:r>
        <w:t>- 17 - Code civil suisse du 30 mars 1911 ; RS 220] ; Martin, Sociétés anonymes de famille, 2013, p. 78 et les références citées) – nécessite un endossement au sens technique du terme (cf. art. 1001 ss CO) et, outre les conditions ordinaires (acte générateur et remise du titre à l’acquéreur), la remise du titre endossé à l’acquéreur, le fait que le titre n’aurait pas pu être ni endossé ni remis à l’acquéreur signifierait tout au plus que le transfert des actions nominatives n’aurait juridiquement pas pu avoir lieu en dépit de l’acte générateur conclu le 29 janvier 2021. Dans ces conditions, l’interdiction de transfert n’aurait donc pas été transgressée. Le moyen de la recourante devrait donc de toute manière être rejeté. La production de l’original du contrat de cession d’actions entre J.________ et F.________ n’étant pas susceptible de conduire à un autre résultat, il n’y a pas lieu de donner suite à cette réquisition.</w:t>
      </w:r>
    </w:p>
    <w:p>
      <w:r>
        <w:rPr>
          <w:b/>
        </w:rPr>
        <w:t>E. 4.1</w:t>
      </w:r>
    </w:p>
    <w:p>
      <w:r>
        <w:t>Dans un second moyen, la société recourante conteste l’appréciation du Ministère public, selon laquelle le non-remboursement par J.________ du solde de son compte courant actionnaire (lequel présentait un solde débiteur de 79'332 fr. au 31 décembre 2020) ne réaliserait pas les éléments constitutifs de l’infraction de gestion déloyale. Elle fait valoir que le comportement de l’ex-administratrice devrait être apprécié dans une plus large mesure que la seule question du non- remboursement de son compte actionnaire et soutient que J.________ aurait violé son devoir de gestion et de sauvegarde et mis la société en péril en prélevant 79'332 fr. sur ledit compte – montant qu’elle n’aurait pas restitué malgré la sommation du 1er février 2021 – en sus du bonus de 46'659 fr. 15 qu’elle s’est octroyé le 27 janvier 2021, alors qu’elle ne pouvait pas ignorer la situation financière de la société.</w:t>
      </w:r>
    </w:p>
    <w:p>
      <w:r>
        <w:rPr>
          <w:b/>
        </w:rPr>
        <w:t>E. 4.2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Le cas de la gestion déloyale aggravée est réalisé lorsque l'auteur a agi dans le</w:t>
      </w:r>
    </w:p>
    <w:p>
      <w:r>
        <w:t>- 18 - dessein de se procurer ou de procurer à un tiers un enrichissement illégitime. Le comportement délictueux visé par cette disposition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6B_438/2019 du 28 mai 2019 consid. 4.1 ; TF 6B_1030/2018 du 20 novembre 2018 consid. 1.1 ; TF 6B_959/2017 du 29 mars 2018 consid. 3.3.1 et les arrêts cités).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 ATF 129 IV 124 consid. 3.1 ; ATF 120 IV 190 consid. 2b). Un préjudice temporaire suffit (ATF 121 IV 104 consid. 2c ; TF 6B_382/2017 du 2 février 2018 consid. 3.1).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précité consid. 3.5 ; TF 6B_787/2016 du 2 mai 2017 consid.</w:t>
      </w:r>
    </w:p>
    <w:p>
      <w:r>
        <w:t>- 19 - 2.5). Dans sa forme aggravée, il faut encore que l'auteur ait agi dans un dessein d'enrichissement illégitime (TF 6B_663/2014 du 22 décembre 2017 consid. 6.4).</w:t>
      </w:r>
    </w:p>
    <w:p>
      <w:r>
        <w:rPr>
          <w:b/>
        </w:rPr>
        <w:t>E. 4.3</w:t>
      </w:r>
    </w:p>
    <w:p>
      <w:r>
        <w:t>L’appréciation du Ministère public, selon laquelle les éléments constitutifs de l’infraction de gestion déloyale ne sont manifestement pas réunis en l’espèce ne prête pas le flanc à la critique et doit être partagée. En effet, il n’est pas contesté que J.________, qui était actionnaire de la société et disposait de ce compte, pouvait l’utiliser, de sorte qu’elle n’a pas porté atteinte aux intérêts pécuniaires de la recourante en violation de ses devoirs en disposant de son compte courant actionnaire pour un montant pour lequel elle invoque au demeurant la compensation (P. 4/3/16 et P. 8/2/42). En particulier, rien n’indique que J.________ se serait octroyée elle-même des libéralités de manière indue, qui auraient été comptabilisées sur ledit compte courant actionnaire. Le seul fait qu’elle n’ait pas remboursé ledit compte pour le moment, quand bien même elle aurait été sommée de le faire, ne permet pas de retenir l’existence d’un préjudice. La Chambre de céans ne distingue aucune mesure d’instruction susceptible d’établir un élément permettant de soupçonner J.________ de gestion déloyale en relation avec le solde de son compte courant actionnaire, le litige apparaissant au contraire de nature purement civile. Quant au bonus que J.________ est soupçonnée de s’être octroyée le 27 janvier 2021, il n’est justement pas couvert par l’ordonnance de non-entrée en matière, et fait l’objet d’une instruction. Le fait qu’à la fin du mois de janvier 2021, à l’issue de longs pourparlers, les actionnaires soient entrés en litige et que J.________ ait décidé de s’octroyer un bonus et de vendre ses actions à son fils ne permet pas de déduire que, durant les années précédentes, elle aurait porté à son compte actionnaire des dettes indues ou fictives. La recourante ne le prétend du reste pas, puisqu’elle ne fait grief à J.________ que de n’avoir pas remboursé le solde dudit compte.</w:t>
      </w:r>
    </w:p>
    <w:p>
      <w:r>
        <w:t>- 20 - Compte tenu de ce qui précède, dès lors qu’aucun élément ne permet de retenir la commission d’une infraction en lien avec ces faits, c’est à juste titre que la procureure a refusé d’entrer en matière sur la plainte de la recourante.</w:t>
      </w:r>
    </w:p>
    <w:p>
      <w:r>
        <w:rPr>
          <w:b/>
        </w:rPr>
        <w:t>E. 5.1</w:t>
      </w:r>
    </w:p>
    <w:p>
      <w:r>
        <w:t>Dans un troisième moyen, la recourante fait grief au Ministère public d’avoir considéré que les éléments constitutifs d’une infraction au sens de la loi contre la concurrence déloyale n’étaient pas réalisés. Elle allègue que J.________ aurait violé les art. 2 et 4 let. a et c LCD en avisant les clients de Z.________ AG de la création de sa nouvelle société C.________ SA et en incitant certains employés à la suivre.</w:t>
      </w:r>
    </w:p>
    <w:p>
      <w:r>
        <w:rPr>
          <w:b/>
        </w:rPr>
        <w:t>E. 5.2.1</w:t>
      </w:r>
    </w:p>
    <w:p>
      <w:r>
        <w:t>Selon l’art. 2 LCD, est déloyal et illicite tout comportement ou pratique commerciale qui est trompeur ou qui contrevient de toute autre manière aux règles de la bonne foi et qui influe sur les rapports entre concurrents ou entre fournisseurs et clients.</w:t>
      </w:r>
    </w:p>
    <w:p>
      <w:r>
        <w:rPr>
          <w:b/>
        </w:rPr>
        <w:t>E. 5.2.2</w:t>
      </w:r>
    </w:p>
    <w:p>
      <w:r>
        <w:t>Aux termes de l’art. 23 LCD, quiconque, intentionnellement, se rend coupable de concurrence déloyale au sens des art. 3, 4, 5 ou 6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w:t>
      </w:r>
    </w:p>
    <w:p>
      <w:r>
        <w:t>- 21 - le jeu normal de la concurrence et propre à influencer le marché. Il doit être objectivement apte à influencer la concurrence (ATF 133 III 431 consid. 4.1 ; ATF 131 III 384 consid. 3 ; ATF 126 III 198 consid. 2 c/aa).</w:t>
      </w:r>
    </w:p>
    <w:p>
      <w:r>
        <w:rPr>
          <w:b/>
        </w:rPr>
        <w:t>E. 5.2.3</w:t>
      </w:r>
    </w:p>
    <w:p>
      <w:r>
        <w:t>A teneur de l’art. 4 LCD, agit de façon déloyale celui qui incite un client à rompre un contrat en vue d’en conclure un autre avec lui (let. a) et celui qui incite des travailleurs, mandataires ou auxiliaires à trahir ou à surprendre des secrets de fabrication ou d’affaires de leur employeur ou mandant (let. c). L’art. 4 let. a LCD a pour but de protéger deux parties à un contrat contre le comportement déloyal d’un tiers perturbateur qui, par ses actes, incite une partie à se départir du contrat pour ensuite en signer un nouveau avec ce dernier (Morin/Oppliger, in : Martenet/Pichonnaz [éd.], Loi contre la concurrence déloyale, Bâle 2017, n. 3 et 6 ad art. 4 LCD). La simple prise de contact avec un partenaire contractuel ne constitue pas une incitation. Il en va de même de vagues allusions sur l’indication de la possibilité de conclure un contrat équivalent ou plus avantageux (CCIV 26 août 2015/45 et les références citées). Par ailleurs, on ne peut parler de rupture de contrat au sens de l’art. 4 let. a LCD que lorsqu'un contrat est violé,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 CREP 24 février 2020/135 consid. 3.3.3 ; CREP 15 avril 2019/290 et les références citées). L’art. 4 let. c LCD réprime l'incitation à la trahison ou à l'espionnage (Sic! 2000 p. 714 consid. 4c). Surprendre des secrets signifie d'en prendre connaissance grâce à des méthodes déloyales : caméras invisibles, micros, décodage des messages cryptés ou espionnage des télécommunications, négociations simulées, débauchage d'employés ou de partenaires contractuels par exemple. Il est également illicite pour un</w:t>
      </w:r>
    </w:p>
    <w:p>
      <w:r>
        <w:t>- 22 - nouvel employeur de profiter des connaissances confidentielles acquises par l'ancien employé du possesseur des secrets, lorsque ce transfuge a violé une obligation de non-concurrence valable (Dessemontet, La propriété intellectuelle et les contrats de licence, 2e éd., nn. 753 et 755). Pour le Tribunal fédéral, les termes « surprendre un secret » exigent un comportement actif de l'auteur. La doctrine en déduit, à juste titre, que l'application de la disposition concernée est exclue lorsque l'accès aux informations est intervenu de manière licite (TF 6B_672/2007 du 15 avril 2008 consid. 3.2 ; TF 6P. 137/2006 du 23 novembre 2006 consid. 6.3 et les références citées). Par ailleurs, inciter un travailleur d’une autre entreprise à résilier son contrat de travail en respectant le délai de congé pour l’engager n’est pas déloyal en soi et ne tombe pas sous le coup de l’art. 4 let. a ou c LCD, puisque cette disposition vise exclusivement les rapports avec les clients (Favre/Pellet/Stoudmann, Droit pénal accessoire, Code annoté, Lausanne 2018, n. 1.1 ad art. 4 LCD).</w:t>
      </w:r>
    </w:p>
    <w:p>
      <w:r>
        <w:rPr>
          <w:b/>
        </w:rPr>
        <w:t>E. 5.3</w:t>
      </w:r>
    </w:p>
    <w:p>
      <w:r>
        <w:t>Le grief de concurrence déloyale ne résiste pas à l’analyse. En effet, quand bien même les courriels produits par la recourante permettent d’admettre que des contacts ont eu lieu entre J.________ et certains clients de Z.________ AG s’agissant de la création de sa nouvelle société C.________ SA, rien, comme l’a relevé à juste titre le Ministère public, ne permet de démontrer que les approches commerciales de J.________ auraient amené les clients de la recourante à rompre un contrat en violation d’une obligation contractuelle ou légale, dès lors que conformément à l’art. 404 CO, les contrats de mandat comme ceux liant la recourante à ses clients peuvent être révoqués ou répudiés sans délai, aucune clause conventionnelle ne prévoyant le contraire. Au demeurant, force est de constater que J.________ a uniquement indiqué aux clients qu’elle quittait la société recourante, mais ne les a pas incités à rompre leur contrat avec celle-ci, certains clients lui ayant même simplement fait part, de leur propre chef, de leur souhait de la suivre dans ses nouvelles activités. Enfin, rien au dossier ne permet de supposer que J.________ aurait incité des employés de la recourante à trahir ses secrets d’affaires, la recourante semblant au contraire uniquement reprocher à son ancienne administratrice d’avoir encouragé K.________ et D.________ à résilier leur</w:t>
      </w:r>
    </w:p>
    <w:p>
      <w:r>
        <w:t>- 23 - contrat de travail, comportement qui n’est pas déloyal au sens de l’art. 4 LCD, cette disposition visant uniquement les rapports avec les clients (Favre/Pellet/Stoudmann, op. cit., n. 1.1 ad art. 4 LCD et la jurisprudence citée). Par surabondance, comme l’a relevé à juste titre le Ministère public, une éventuelle violation de la clause de prohibition de concurrence ressortant du contrat de travail liant J.________ à la recourante relèverait du droit civil. Une éventuelle violation de la clause générale de l’art. 2 LCD ne saurait de surcroît être punissable en l’absence de renvoi de l’art. 23 LCD. Ce grief doit donc être rejeté.</w:t>
      </w:r>
    </w:p>
    <w:p>
      <w:r>
        <w:rPr>
          <w:b/>
        </w:rPr>
        <w:t>E. 6</w:t>
      </w:r>
    </w:p>
    <w:p>
      <w:r>
        <w:t>En définitive, l’appréciation du Ministère public, selon laquelle les éléments constitutifs des infractions d’insoumission à une décision de l’autorité, de gestion déloyale et de violation de la loi contre la concurrence déloyale font défaut, ne prête pas le flanc à la critique et c’est à juste titre que la procureure a refusé d’entrer en matière sur la plainte de la recourante en tant qu’elle portait sur ces faits et qu’elle a refusé de donner suite aux requêtes de séquestre y relatives. Pour les mêmes motifs, il n’y a pas non plus lieu de donner suite aux requêtes formulées à cet égard par la recourante dans son acte de recours. Le recours, manifestement mal fondé, doit donc être rejeté sans échange d’écritures (art. 390 al. 2 CPP) et l’ordonnance attaquée confirmée. Les frais de la procédure de recours, constitués en l’espèce du seul émolument d’arrêt, par 2’420 fr. (art. 20 al. 1 TFIP [Tarif des frais de procédure et indemnités en matière pénale du 28 septembre 2010 ; BLV 312.03.1]), seront mis à la charge de la recourante, qui succombe (art. 428 al. 1 CPP).</w:t>
      </w:r>
    </w:p>
    <w:p>
      <w:r>
        <w:t>- 24 - Vu le sort du recours, aucune indemnité ne sera allouée à la recourante pour les dépenses occasionnées par la procédure. Par ces motifs, la Chambre des recours pénale prononce : I. Le recours est rejeté. II. L’ordonnance du 25 juin 2021 est confirmée. III. Les frais d’arrêt, par 2’420 fr. (deux mille quatre cent vingt francs), sont mis à la charge de Z.________ AG. IV. L’arrêt est exécutoire. Le président : La greffière : Du Le présent arrêt, dont la rédaction a été approuvée à huis clos, est notifié, par l'envoi d'une copie complète, à : - Me Thierry Ador, avocat (pour Z.________ AG), - Ministère public central, et communiqué à : - Mme la Procureure de l’arrondissement de La Côte,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