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PE21.003221 vom 26. August 2022</w:t>
      </w:r>
    </w:p>
    <w:p>
      <w:r>
        <w:t>VD Tribunal cantonal, 2022-08-26, FR</w:t>
      </w:r>
    </w:p>
    <w:p>
      <w:r>
        <w:rPr>
          <w:b/>
        </w:rPr>
        <w:t xml:space="preserve">Quelle: </w:t>
      </w:r>
      <w:r>
        <w:t>https://mcp.opencaselaw.ch/entscheid/vd_gerichte_PE21.003221</w:t>
      </w:r>
    </w:p>
    <w:p>
      <w:r>
        <w:t>FR: VD_GERICHTE PE21.003221 du 26 août 2022</w:t>
      </w:r>
    </w:p>
    <w:p>
      <w:r>
        <w:t>IT: VD_GERICHTE PE21.003221 del 26 agosto 2022</w:t>
      </w:r>
    </w:p>
    <w:p>
      <w:pPr>
        <w:pStyle w:val="Heading2"/>
      </w:pPr>
      <w:r>
        <w:t>Erwägungen</w:t>
      </w:r>
    </w:p>
    <w:p>
      <w:r>
        <w:rPr>
          <w:b/>
        </w:rPr>
        <w:t>E. 1.1</w:t>
      </w:r>
    </w:p>
    <w:p>
      <w:r>
        <w:t>Aux termes de l’art. 393 al. 1 let. a CPP, le recours est recevable contre les décisions et les actes de procédure du Ministère public. Une ordonnance de séquestre (art. 263 CPP) rendue par le Ministère public dans le cadre de la procédure préliminaire est ainsi susceptible de recours selon les art. 393 ss CPP (Lembo/Julen Berthod, in : Jeanneret/Kuhn/Perrier Depeursinge [éd.], Commentaire romand, Code de procédure pénale suisse, 2e éd., Bâle 2019 [cité ci-après : CR-CPP], n. 4 ad art. 267 CPP ; Moreillon/Parein-Reymond, Code de procédure pénale, Petit commentaire, 2e éd., Bâle 2016, n. 24 ad art. 263 CPP).</w:t>
      </w:r>
    </w:p>
    <w:p>
      <w:r>
        <w:t>- 4 - Ce recours s’exerce par écrit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septembre 1979 d'organisation judiciaire; BLV 173.01]).</w:t>
      </w:r>
    </w:p>
    <w:p>
      <w:r>
        <w:rPr>
          <w:b/>
        </w:rPr>
        <w:t>E. 1.2</w:t>
      </w:r>
    </w:p>
    <w:p>
      <w:r>
        <w:t>Le recours a été interjeté en temps utile par le prévenu, dans les formes prescrites (art. 385 al. 1 CPP). Trancher la question de la recevabilité du recours implique toutefois de déterminer également si le prévenu a qualité pour recourir contre l’ordonnance entreprise.</w:t>
      </w:r>
    </w:p>
    <w:p>
      <w:r>
        <w:rPr>
          <w:b/>
        </w:rPr>
        <w:t>E. 2.1</w:t>
      </w:r>
    </w:p>
    <w:p>
      <w:r>
        <w:t>Selon l'art. 382 al. 1 CPP, toute partie qui a un intérêt juridiquement protégé à l'annulation ou à la modification d'une décision a qualité pour recourir contre celle-ci. Un intérêt juridiquement protégé est reconnu à celui qui jouit d'un droit de propriété ou d'un droit réel limité (notamment un droit de gage) sur les valeurs saisies ou confisquées (TF 1B_490/2020 du 9 décembre 2020 consid. 2.2). Le titulaire d'avoirs bancaires bloqués ou confisqués peut également se prévaloir d'un tel intérêt, car il jouit d'un droit personnel de disposition sur un compte, équivalant économiquement à un droit réel sur des espèces (ATF 133 IV 278 consid. 1.3; ATF 128 IV 145 consid. 1a). Ainsi, l'existence d'un intérêt de pur fait ou la simple perspective d'un intérêt juridique futur ne suffit pas (ATF 127 III 41 consid. 2b p. 42; ATF 120 Ia 165 consid. 1a p. 166; ATF 118 Ia 46 consid. 3c p. 53 ; ATF 118 Ia 488 consid. 1a p. 490 et les arrêts cités). Une partie qui n'est pas concrètement lésée par la décision ne possède donc pas la qualité pour recourir et son recours est irrecevable (TF 1B_669/2012 du 12 mars 2013 consid. 2.3.1 et la référence citée). Dans un arrêt 1B_72/2014 du 15 avril 2014, où il était question d’un recours contre une ordonnance de séquestre portant sur une police d’assurance-vie, dont la recourante était</w:t>
      </w:r>
    </w:p>
    <w:p>
      <w:r>
        <w:t>- 5 - à la fois la bénéficiaire et la preneuse d’assurance, le Tribunal fédéral a considéré que la recourante ne pouvait faire valoir ses éventuels droits sur le montant de la police qu’en cas de décès de l’assuré ou à l’échéance de la police, et ne disposait à ce moment-là que d’une prétention future et incertaine, de sorte qu’elle n’était pas lésée par le séquestre prononcé.</w:t>
      </w:r>
    </w:p>
    <w:p>
      <w:r>
        <w:rPr>
          <w:b/>
        </w:rPr>
        <w:t>E. 2.2</w:t>
      </w:r>
    </w:p>
    <w:p>
      <w:r>
        <w:t>En l’espèce, force est tout d’abord de constater que le compte bancaire séquestré est au nom de la société W.________ et non de C.________, qui en est uniquement l’ayant droit économique (P. 65). Ce dernier n’est donc pas titulaire des avoirs séquestrés. Dans ces conditions, le recourant ne peut prétendre être lésé directement dans un intérêt personnel et juridiquement protégé par le séquestre dénoncé. Le recourant fait valoir qu’il aurait néanmoins un droit sur ces avoirs, dès lors qu’il serait le preneur de l’assurance-vie à laquelle sont liés lesdits fonds séquestrés et que, par conséquent, il répond également du dommage qui résulterait de l’inexécution des obligations liées à ladite assurance en raison des effets du séquestre. Il résulte toutefois du dossier que le recourant n'a pas produit le contrat d’assurance sur lequel il fonde son argument, mais se contente de simples allégations. Or, il appartient à celui qui prétend avoir un intérêt juridiquement protégé à l’annulation ou à la modification d’une décision, et donc la qualité pour recourir, de l’établir ou au moins de le rendre vraisemblable. Par conséquent, à défaut pour le recourant de pouvoir étayer ses dires, c’est en vain qu’il affirme que le non-respect de ses obligations en lien avec ladite assurance pourrait entraîner des dommages. Partant, la situation du cas d’espèce est bien identique à celle examinée par le Tribunal fédéral dans son arrêt du 15 avril 2014 précité. D’ailleurs le recourant ne conteste pas n’être titulaire, en sa qualité de bénéficiaire de l’assurance-vie, que d’une prétention future et incertaine. Il s’ensuit que la qualité pour recourir au sens de l'art. 382 al. 1 CPP doit lui être déniée.</w:t>
      </w:r>
    </w:p>
    <w:p>
      <w:r>
        <w:rPr>
          <w:b/>
        </w:rPr>
        <w:t>E. 2.3</w:t>
      </w:r>
    </w:p>
    <w:p>
      <w:r>
        <w:t>Pour le reste, c’est en vain que le recourant fait valoir que l’ordonnance de séquestre serait insuffisamment motivée. En effet, l’art. 263 al. 2 CPP précise que le séquestre est ordonné par voie d'ordonnance</w:t>
      </w:r>
    </w:p>
    <w:p>
      <w:r>
        <w:t>- 6 - écrite, brièvement motivée. Cette disposition prévoit ainsi expressément l'obligation de motiver une ordonnance de séquestre aux fins de respecter le droit d'être entendu des personnes dont les biens sont saisis, de manière qu’elles puissent se rendre compte de la portée de celle-ci, l'attaquer en connaissance de cause et afin que l'autorité de recours puisse exercer son contrôle à bon escient (Julen Berthod, in CR CPP, op. cit. n. 34 ad art. 263 CPP). Tel est bien le cas en l’espèce, l’ordonnance étant suffisamment motivée, dans la mesure où l’enquête le permet, sans mettre en péril les opérations encore en cours. Sur ce dernier point, le recourant conteste en vain les restrictions d’accès au dossier qui ne sont pas l’objet de l’ordonnance attaquée, de sorte que ses griefs à cet égard sont irrecevables. Ainsi, à ce stade de l’enquête, on ne saurait reprocher au procureur de n’avoir pas été plus précis, faute de quoi l’ordonnance de séquestre pourrait faire perdre tout son sens aux restrictions en question.</w:t>
      </w:r>
    </w:p>
    <w:p>
      <w:r>
        <w:rPr>
          <w:b/>
        </w:rPr>
        <w:t>E. 3</w:t>
      </w:r>
    </w:p>
    <w:p>
      <w:r>
        <w:t>En conclusion, le recours est donc irrecevable faute d’intérêt pour recourir du prévenu.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 Enfin, le plaignant, qui n’a pas été invité à procéder dans le cadre de la procédure de recours mais s’est déterminé spontanément, n’a pas droit à une indemnité au sens de l’art. 429 CPP (applicable par renvoi de l’art. 436 al. 1 CPP).</w:t>
      </w:r>
    </w:p>
    <w:p>
      <w:r>
        <w:t>- 7 - Par ces motifs, la Chambre des recours pénale prononce : I. Le recours est irrecevable. II. Les frais d'arrêt, par 660 fr. (six cent soixante francs), sont mis à la charge de C.________. III. L’arrêt est exécutoire. La présidente : Le greffier : Du Le présent arrêt, dont la rédaction a été approuvée à huis clos, est notifié, par l'envoi d'une copie complète, à : - Me Miriam Mazou, avocate (pour C.________), (et par efax) - Ministère public central, (et par efax) et communiqué à : - M. le Procureur du Ministère public central, division criminalité économique, (et par efax) - Me Jean-François Ducrest, avocat (pour A.________), (et par efax)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