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PE21.003212 vom 23. März 2022</w:t>
      </w:r>
    </w:p>
    <w:p>
      <w:r>
        <w:t>VD Tribunal cantonal, 2022-03-23, FR</w:t>
      </w:r>
    </w:p>
    <w:p>
      <w:r>
        <w:rPr>
          <w:b/>
        </w:rPr>
        <w:t xml:space="preserve">Quelle: </w:t>
      </w:r>
      <w:r>
        <w:t>https://mcp.opencaselaw.ch/entscheid/vd_gerichte_PE21.003212</w:t>
      </w:r>
    </w:p>
    <w:p>
      <w:r>
        <w:t>FR: VD_GERICHTE PE21.003212 du 23 mars 2022</w:t>
      </w:r>
    </w:p>
    <w:p>
      <w:r>
        <w:t>IT: VD_GERICHTE PE21.003212 del 23 marzo 2022</w:t>
      </w:r>
    </w:p>
    <w:p>
      <w:pPr>
        <w:pStyle w:val="Heading2"/>
      </w:pPr>
      <w:r>
        <w:t>Erwägungen</w:t>
      </w:r>
    </w:p>
    <w:p>
      <w:r>
        <w:rPr>
          <w:b/>
        </w:rPr>
        <w:t>E. 23</w:t>
      </w:r>
    </w:p>
    <w:p>
      <w:r>
        <w:t>janvier 2021 que les policiers ne pouvaient constater de contravention. Il estime que l’interpellation du 23 janvier 2021 et la dénonciation ont eu lieu pour des motifs qui ne se justifieraient pas. Il prétend qu’il s’agirait d’un problème de personne et d’autorité. Il critique que la dénonciation ait eu lieu trois semaines après les faits et soutient que le temps nécessaire à l’agent pour rédiger et adresser la dénonciation en question démontrerait qu’il aurait agi dans l’intention de lui nuire. H.________ relève que le premier-lieutenant [...], qui s’occupe des doléances en rapport avec le comportement ou les pratiques professionnelles des policiers municipaux de Lausanne, ne semblait pas être au courant de l’existence de la dénonciation. Il invoque que ce premier-lieutenant lui aurait indiqué « si vous aviez été plus sympathique, Monsieur D.________ ne chercherait pas à vous dénoncer ». Le recourant en déduit que D.________, en le dénonçant, aurait cherché à lui nuire. 2.2 2.2.1 Conformément à l’art. 310 al. 1 let. a CPP, le ministère public rend immédiatement une ordonnance de non-entrée en matière s’il ressort</w:t>
      </w:r>
    </w:p>
    <w:p>
      <w:r>
        <w:t>- 5 - de la dénonciation ou du rapport de police que les éléments constitutifs de l’infraction ou que les conditions à l’ouverture de l’action pénale ne sont manifestement pas réunies.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2.2.2 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w:t>
      </w:r>
    </w:p>
    <w:p>
      <w:r>
        <w:t>- 6 -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La disposition ne tend à sanctionner comme abus d’autorité que les cas importants de manquement à un devoir de fonction, les infractions de moindre gravité devant être sanctionnées par la voie disciplinaire, voire par des dispositions cantonales sur la répression des contraventions conformément à l’art. 335 CP (ATF 88 IV 69 consid. 1, JdT 1962 IV 86). La simple violation de devoirs de service, même sanctionnée par l’autorité supérieure ou de recours, ne suffit pas pour obtenir l’existence d’un abus. Il doit s’agir d’une violation insoutenable (Corboz, Les infractions en droit suisse, vol. II, 3e éd., Berne 2010, n. 6 ad art. 312 CP) Selon l’art. 12 let. a CPP, la police est une autorité de poursuite pénale. Intitulé « appréhension », l’art. 215 al. 1 CPP dispose qu’afin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 personne appréhendée est obligée, sur la base de l’art. 215 al. 2 CPP, de décliner son identité (let. a), de produire ses papiers d’identité (let. b), de présenter les objets qu’elle transporte avec elle (let. c) et d’ouvrir ses bagages ou son véhicule (let. d).</w:t>
      </w:r>
    </w:p>
    <w:p>
      <w:r>
        <w:t>- 7 - L’art. 307 al. 3 CPP prévoit que 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les valeurs mis en sûreté. 2.3. 2.3.1 En l’espèce, il ressort du dossier que le rapport de dénonciation du 3 février 2021 (P. 8/2) a été signé par deux agents, D.________ et [...], qui indiquent avoir participé à l’interpellation du recourant. Contrairement à ce que soutient celui-ci, deux agents ont participé à l’interpellation et l’ont dénoncé. En outre, il est établi que le rapport de dénonciation a été rédigé le 3 février 2021. Cette date et celle de la notification dudit rapport à l’autorité compétente ne sont toutefois pas pertinentes pour démontrer un abus d’autorité. On ne peut pas déduire du temps de réaction de l’agent pour formaliser un constat dans un rapport une volonté de nuire ou une violation grave d’un devoir de fonction, comme le soutient le recourant. On ne peut pas reprocher aux agents d’avoir pris un certain temps pour, comme le suppose le recourant, chercher les dispositions légales applicables. Le simple écoulement du temps ne peut pas, à lui seul, constituer un abus d’autorité et nuire au recourant. Les considérations du recourant sur la chronologie des actes de D.________ ou sur le fait que le premier-lieutenant s’occupant des doléances ignorait si D.________ avait ou non déposé une dénonciation ne sont d’aucune pertinence pour établir un abus d’autorité. Il importe peu de savoir si l’interpellation du 23 janvier 2021 a été signalée dans la main courante ou non. Ce signalement ne peut avoir une quelconque influence sur la réalisation ou non de l’infraction d’abus d’autorité, puisqu’il s’agit d’une procédure de communication interne à la police qui ne concerne pas le recourant et ne provoque pas d’effet juridique. Contrairement à ce que soutient le recourant, l’absence d’un signalement dans la main courante de la police n’a pas non plus</w:t>
      </w:r>
    </w:p>
    <w:p>
      <w:r>
        <w:t>- 8 - d’influence sur la réalisation ou non de l’infraction qui lui a été reprochée et sur la capacité de l’agent concerné à faire une dénonciation en se fondant sur les faits constatés et établis dans son rapport. Le recourant ne démontre donc pas que des faits retenus par le Ministère public pourraient être contredits et n’établit aucun fait pertinent permettant de retenir la réalisation de l’infraction d’abus d’autorité. 2.3.2 S’agissant des éléments constitutifs de l’infraction prévue à l’art. 312 CP, il est établi que D.________ a agi en sa qualité de fonctionnaire de police, lorsqu’avec son collègue il a appréhendé H.________, puis l’a dénoncé. Cependant, concernant l’activité des agents de police dans cette affaire, il sied de rappeler au recourant que la police est une autorité de poursuite pénale dont l’une des prérogatives est de dénoncer aux autorités compétentes les éventuelles infractions constatées. La dénonciation de faits susceptibles de constituer une infraction pénale ne signifie pas que l’infraction est réalisée sur le plan juridique, la procédure judiciaire initiée par cette dénonciation ayant précisément pour but d’établir si les conditions de l’infraction sont réalisées. En l’occurrence, tant l’interpellation du 23 janvier 2021 que la dénonciation du 3 février 2021 sont fondées sur un comportement du recourant susceptible de constituer une infraction à l’art. 90 al. 1 LCR et/ou à l’art. 86 LCdF. En constatant qu’un véhicule s’était parqué à proximité de voies de chemin de fer, comme cela ressort de la photographie jointe au rapport de dénonciation (P. 8/2), et en déduisant que ce comportement pouvait être une infraction, les agents de police ont agi conformément à leurs prérogatives et dans le respect de leur compétence. La dénonciation a d’ailleurs abouti à une condamnation prononcée par la Préfète du district de Lausanne qui a donc, à ce stade, confirmé l’appréciation des agents (P. 10/2). Quoi qu’il en soit, la Chambre de céans n’a pas à se prononcer sur la réalisation ou non d’une infraction par le recourant, ce qui n’est pas l’objet de la présente procédure. Il suffit de constater, à ce stade, que les</w:t>
      </w:r>
    </w:p>
    <w:p>
      <w:r>
        <w:t>- 9 - agents pouvaient dénoncer les faits à l’autorité compétente, sans commettre un abus d’autorité. A ce titre, la requête de suspension de la procédure formulée par H.________ doit être rejetée, puisque les informations qu’il a requises de la Justice de paix du district de Lausanne ne sont d’aucune utilité pour établir une violation de l’art. 312 CP. Ces informations pourraient tout au plus avoir un effet uniquement sur la réalisation ou non par le recourant d’une infraction aux art. 90 al. 1 LCR et 86 LCdF. En outre, confrontés à une certaine opposition du recourant qui admet avoir dit aux agents « que cela ne les concernait pas » et avoir refusé de communiquer certaines informations, les policiers n’ont pas agi de manière disproportionnée, alors que, de l’aveu du recourant, la situation était « tendue ». En procédant au contrôle d’identité du recourant et en indiquant que « l’affaire n’allait pas en rester là », dans la perspective d’une dénonciation, D.________ n’a pas outrepassé les limites de son pouvoir et n’a pas nui au recourant. Il a simplement prévenu le recourant que les faits constatés allaient être soumis à l’appréciation de l’autorité compétente. S’il ressort du dossier que les différents échanges avec D.________ ont donné lieu à des reproches mutuels sur la forme employée, il n’en demeure pas moins que celui-ci n’a pas commis d’acte illicite, de contrainte excessive, de violation grave à un devoir de fonction et donc d’abus. En outre, la responsabilité de ce climat « tendu » paraît incomber principalement au recourant. Les éléments constitutifs de l’infraction d’abus d’autorité ne sont donc manifestement pas réalisés. 3. Il résulte de ce qui précède que le recours, manifestement mal fondé, doit être rejeté sans échange d’écritures (art. 390 al. 2 CPP) et l’ordonnance de non-entrée en matière du 10 mai 2021 confirmée.</w:t>
      </w:r>
    </w:p>
    <w:p>
      <w:r>
        <w:t>- 10 - Au vu de ce qui précède, le fait de savoir si la parcelle avait été mise à ban importe peu, et une suspension dans ce but serait inutile. La requête en ce sens doit donc être rejetée. Les frais de la procédure de recours, constitués en l’espèce du seul émolument d’arrêt (art. 422 al. 1 CPP), par 990 fr. (art. 20 al. 1 TFIP [Tarif des frais de procédure et indemnités en matière pénale du 29 septembre 2010 ; BLV 312.03.1]), seront mis à la charge du recourant, qui succombe (art. 428 al. 1 CPP). Les frais d’arrêt seront compensés à due concurrence avec le montant de l’avance de frais de 550 fr. déjà versé par le recourant, le solde de 440 fr. restant à sa charge (art. 7 TFIP). Par ces motifs, la Chambre des recours pénale prononce : I. Le recours est rejeté. II. L’ordonnance du 10 mai 2021 est confirmée. III. La requête de suspension est rejetée. IV. Les frais d’arrêt, par 990 fr. (neuf cent nonante francs), sont mis à la charge de H.________. V. L’avance de frais de 550 fr. (cinq cent cinquante francs) versée par H.________ est imputée sur les frais mis à sa charge au chiffre III ci-dessus, le solde dû s’élevant à 440 fr. (quatre cent quarante francs). VI. L’arrêt est exécutoire. Le président : Le greffier :</w:t>
      </w:r>
    </w:p>
    <w:p>
      <w:r>
        <w:t>- 11 - Du Le présent arrêt, dont la rédaction a été approuvée à huis clos, est notifié, par l'envoi d'une copie complète, à : - M. H.________,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