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PE21.003168 vom 22. Juli 2021</w:t>
      </w:r>
    </w:p>
    <w:p>
      <w:r>
        <w:t>VD Tribunal cantonal, 2021-07-22, FR</w:t>
      </w:r>
    </w:p>
    <w:p>
      <w:r>
        <w:rPr>
          <w:b/>
        </w:rPr>
        <w:t xml:space="preserve">Quelle: </w:t>
      </w:r>
      <w:r>
        <w:t>https://mcp.opencaselaw.ch/entscheid/vd_gerichte_PE21.003168</w:t>
      </w:r>
    </w:p>
    <w:p>
      <w:r>
        <w:t>FR: VD_GERICHTE PE21.003168 du 22 juillet 2021</w:t>
      </w:r>
    </w:p>
    <w:p>
      <w:r>
        <w:t>IT: VD_GERICHTE PE21.003168 del 22 luglio 2021</w:t>
      </w:r>
    </w:p>
    <w:p>
      <w:pPr>
        <w:pStyle w:val="Heading2"/>
      </w:pPr>
      <w:r>
        <w:t>Erwägungen</w:t>
      </w:r>
    </w:p>
    <w:p>
      <w:r>
        <w:rPr>
          <w:b/>
        </w:rPr>
        <w:t>E. 1</w:t>
      </w:r>
    </w:p>
    <w:p>
      <w:r>
        <w:t>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le recours a été déposé en temps utile, auprès de l’autorité compétente et dans les formes prescrites (art. 385 al. 1 CPP), de sorte qu’il est recevable.</w:t>
      </w:r>
    </w:p>
    <w:p>
      <w:r>
        <w:rPr>
          <w:b/>
        </w:rPr>
        <w:t>E. 2</w:t>
      </w:r>
    </w:p>
    <w:p>
      <w:r>
        <w:t>CPP ; ATF 138 IV 86 consid. 4.2 ; TF 6B_510/2020 du 15 septembre 2020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w:t>
      </w:r>
    </w:p>
    <w:p>
      <w:r>
        <w:t>- 7 -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w:t>
      </w:r>
    </w:p>
    <w:p>
      <w:r>
        <w:t>L'art. 312 CP réprime le fait pour un membre d'une autorité ou un fonctionnaire d'abuser des pouvoirs de sa charge dans le dessein de se procurer ou de procurer à un tiers un avantage illicite ou de nuire à autrui. L'infraction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(ATF 127 IV 209 consid. 1a/aa, JdT 2003 IV 117) ; l'abus est également réalisé lorsque l'auteur poursuit un but légitime mais recourt, pour l'atteindre, à des moyens disproportionnés (ATF 127 IV 209 consid. 1a/aa et b et les références citées ; TF 6B_1222/2020 du 27 avril 2021 consid. 1.1 et les références citées). Seuls des cas importants de manquement à un devoir de fonction doivent être sanctionnés par l’infraction d’abus d’autorité, les infractions de moindre gravité devant être sanctionnées par la voie disciplinaire (Dupuis et al. [éd.], Petit commentaire, Code pénal, 2e éd., Bâle 2017, n. 19 ad art. 312 CP).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Il faut admettre que</w:t>
      </w:r>
    </w:p>
    <w:p>
      <w:r>
        <w:t>- 8 - l'auteur nuit à autrui dès qu'il utilise des moyens excessifs, même s'il poursuit un but légitime. Le motif pour lequel l'auteur agit est ainsi sans pertinence sur l'intention, mais a trait à l'examen de la culpabilité (TF 6B_1222/2020 précité et les références citées).</w:t>
      </w:r>
    </w:p>
    <w:p>
      <w:r>
        <w:rPr>
          <w:b/>
        </w:rPr>
        <w:t>E. 4.1</w:t>
      </w:r>
    </w:p>
    <w:p>
      <w:r>
        <w:t>Dans un premier moyen, le recourant invoque une violation des art. 69 CP et 266 CPP, ainsi que de son droit d’être entendu, en lien avec la destruction des deux boîtes de plombs qui avaient été saisies par la procureure dans le cadre de l’enquête PE19.006828. Le recourant allègue que ces plombs auraient pu servir de moyen de preuve, qu’un recours avait été déposé contre l’ordonnance de séquestre y relative, que les parties n’auraient pas été avisées de cette destruction et qu’une enquête aurait dû être ouverte afin de déterminer le responsable de cette destruction.</w:t>
      </w:r>
    </w:p>
    <w:p>
      <w:r>
        <w:rPr>
          <w:b/>
        </w:rPr>
        <w:t>E. 4.2</w:t>
      </w:r>
    </w:p>
    <w:p>
      <w:r>
        <w:t>En l’occurrence, les boîtes de plombs en question ont été saisies en même temps qu’une carabine à air comprimé, avec laquelle, selon la voisine du plaignant, celui-ci lui aurait tiré dessus. Une ordonnance de séquestre portant à la fois sur cette arme et sur ces boîtes a été rendue le 11 juillet 2019, la procureure retenant qu’ils pourraient être utilisés comme moyen de preuve et confisqués. Le 13 août 2019, la police a informé la procureure que les munitions avaient été immédiatement détruites après leur saisie dès lors qu’elles ne permettaient pas une analyse balistique, qu’il s’agissait de la procédure habituelle pour les saisies d’armes à air comprimé et qu’un rapport de dénonciation pour infraction à la loi fédérale sur les armes allait être transmis au Ministère public. La procureure a mentionné cette information au procès-verbal des opérations le jour-même. On constate d’une part que selon le Bureau des armes, ces plombs ne permettaient pas une expertise balistique. Il est donc inexact de soutenir qu’ils auraient pu servir de moyen de preuve. D’autre part, si un recours a effectivement été déposé contre l’ordonnance de séquestre du 11 juillet 2019, force est de constater qu’il a été rejeté par la Chambre</w:t>
      </w:r>
    </w:p>
    <w:p>
      <w:r>
        <w:t>- 9 - de céans par arrêt du 23 août 2019 et que le séquestre a été confirmé. On ne voit donc pas quel argument le recourant pourrait en tirer. Enfin, la procureure n’avait pas à aviser les parties de la destruction de ces plombs. L’inscription au procès-verbal mentionnait cette opération de police et le recourant pouvait en tout temps consulter le dossier, ce d’autant plus qu’il était assisté. En réalité, le recourant perd de vue que les voies de droit ordinaires permettaient de faire réexaminer cette opération par l’autorité de recours. Or, il n’a pas utilisé ce moyen. En outre, le recourant ne tient pas compte du fait que la procureure est liée par les règles de sécurité appliquées par la police en matière d’armes ; il n’est pas besoin de longs développements pour expliquer le danger que peut représenter le stockage de munitions, dont on ignore à la fois l’état de conservation et la stabilité. Y voir, comme le fait le recourant, un possible abus d’autorité des fonctionnaires de police tombe à faux et d’emblée, puisqu’une telle opération ne vise précisément pas à nuire à autrui, mais à protéger autrui. Partant, le moyen doit être rejeté.</w:t>
      </w:r>
    </w:p>
    <w:p>
      <w:r>
        <w:rPr>
          <w:b/>
        </w:rPr>
        <w:t>E. 5.1</w:t>
      </w:r>
    </w:p>
    <w:p>
      <w:r>
        <w:t>Dans un deuxième moyen, le recourant revient sur la perquisition de son domicile qui a été effectuée le 25 juin 2019 dans le cadre de l’enquête PE19.006828, après une première perquisition opérée le 22 mai 2019. Il fait valoir que cette mesure aurait été disproportionnée eu égard à l’infraction de peu d’importance qui lui était reprochée. Il relève également que l’enquête PE19.009298 porterait, comme l’enquête PE19.006828, sur des prises de vues réalisées contre le gré de la personne filmée. Or, dans le cadre de la procédure PE19.009298, ouverte sur plainte de F.________, la procureure n’aurait ordonné aucune perquisition, ni audition, avant de rendre une ordonnance de non-entrée en matière, alors que dans le cadre de la procédure PE19.006828, où le recourant est partie en qualité de prévenu, la procureure aurait poursuivi l’enquête avec « de grands moyens » (perquisitions et saisie de matériel informatique, dont une partie ne lui appartenait pas).</w:t>
      </w:r>
    </w:p>
    <w:p>
      <w:r>
        <w:t>- 10 -</w:t>
      </w:r>
    </w:p>
    <w:p>
      <w:r>
        <w:rPr>
          <w:b/>
        </w:rPr>
        <w:t>E. 5.2</w:t>
      </w:r>
    </w:p>
    <w:p>
      <w:r>
        <w:t>En l’occurrence, l’ordonnance de non-entrée en matière rendue dans le cadre de la procédure PE19.009298 a fait l’objet d’un recours auprès de la Chambre de céans, qui l’a rejeté par arrêt du 27 octobre 2020, et d’un recours au Tribunal fédéral, qui a été rejeté dans la mesure où il était recevable par arrêt du 6 mai 2021. Les critiques du recourant ont été examinées par toutes les instances judiciaires. Tenter de faire réexaminer cette décision par le moyen d’une plainte pénale contre la procureure pour abus d’autorité revient à contourner les décisions rendues par la justice. Il en va de même de la manière dont la procédure PE19.006828 est instruite. Là encore, force est de rappeler que les voies de droit ordinaires permettent d’exercer un contrôle sur le suivi d’une enquête. Ni la récusation et a fortiori ni la voie de la plainte pénale ne sont des moyens adéquats, leur seul but semblant être en réalité de faire pression sur la magistrate concernée.</w:t>
      </w:r>
    </w:p>
    <w:p>
      <w:r>
        <w:rPr>
          <w:b/>
        </w:rPr>
        <w:t>E. 6</w:t>
      </w:r>
    </w:p>
    <w:p>
      <w:r>
        <w:t>En définitive, manifestement mal fondé et même abusif, le recours doit être rejeté sans échange d’écritures (art. 390 al. 2 CPP) et l’ordonnance attaquée confirmée. Les frais de la procédure de recours, constitués en l'espèce du seul émolument d’arrêt, par 990 fr. (art. 20 al. 1 TFIP [Tarif des frais de procédure et indemnités en matière pénale du 28 septembre 2010 ; BLV 312.03.1]), seront mis à la charge du recourant, qui succombe (art. 428 al. 1 CPP). Par ces motifs, la Chambre des recours pénale prononce : I.Le recours est rejeté. II.L’ordonnance du 13 avril 2021 est confirmée. III.Les frais d’arrêt, par 990 fr. (neuf cent nonante francs), sont mis à la charge de F.________.</w:t>
      </w:r>
    </w:p>
    <w:p>
      <w:r>
        <w:t>- 11 - IV.L’arrêt est exécutoire. Le président : La greffière : Du Le présent arrêt, dont la rédaction a été approuvée à huis clos, est notifié, par l'envoi d'une copie complète, à : - Me Baptiste Favez, avocat (pour F.________), - M. le Procureur général du canton de Vaud.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