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PE21.002820 vom 21. September 2021</w:t>
      </w:r>
    </w:p>
    <w:p>
      <w:r>
        <w:t>VD Tribunal cantonal, 2021-09-21, FR</w:t>
      </w:r>
    </w:p>
    <w:p>
      <w:r>
        <w:rPr>
          <w:b/>
        </w:rPr>
        <w:t xml:space="preserve">Quelle: </w:t>
      </w:r>
      <w:r>
        <w:t>https://mcp.opencaselaw.ch/entscheid/vd_gerichte_PE21.002820</w:t>
      </w:r>
    </w:p>
    <w:p>
      <w:r>
        <w:t>FR: VD_GERICHTE PE21.002820 du 21 septembre 2021</w:t>
      </w:r>
    </w:p>
    <w:p>
      <w:r>
        <w:t>IT: VD_GERICHTE PE21.002820 del 21 settembre 2021</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w:t>
      </w:r>
    </w:p>
    <w:p>
      <w:r>
        <w:t>- 13 - première instance. La juridiction d'appel administre, d'office ou à la demande d'une partie, les preuves complémentaires nécessaires au traitement de l'appel (art. 389 al. 3 CPP).</w:t>
      </w:r>
    </w:p>
    <w:p>
      <w:r>
        <w:rPr>
          <w:b/>
        </w:rPr>
        <w:t>E. 2.1</w:t>
      </w:r>
    </w:p>
    <w:p>
      <w:r>
        <w:t>A son arrivée en Suisse, le prévenu a signé une demande d’assistance, confirmant avoir pris connaissance des principes fondamentaux de l’aide sociale concernant notamment le principe de sa subsidiarité, outre l’obligation d’annoncer toute prise d’emploi (P. 4/3). Les formulaires « Commande d’assistance financière » rappellent l’obligation de renseigner (art. 22 LARA) et le principe de la subsidiarité (art. 23 LARA) (P. 4/28 à 30). Dès le moment où il a sollicité une aide financière de l'EVAM, le prévenu a ainsi été informé du principe de subsidiarité de cette aide par rapport à tout autre revenu et, partant, de son obligation d'annoncer toute prestation financière dont il bénéficierait.</w:t>
      </w:r>
    </w:p>
    <w:p>
      <w:r>
        <w:rPr>
          <w:b/>
        </w:rPr>
        <w:t>E. 2.2</w:t>
      </w:r>
    </w:p>
    <w:p>
      <w:r>
        <w:t>De juillet à décembre 2019, B.________ a travaillé au service de la société [...], réalisant un revenu net de 15'139 fr. 50. Pour autant, il a rempli les questionnaires de commande d'assistance financière pour ces six mois en répondant, en violation de ses obligations, systématiquement « non » à la question de savoir s'il avait réalisé un quelconque revenu. Ainsi, les formulaires « Commande d’assistance financière » signés les 16 juillet et 11 septembre 2019 (P. 4/28 à 30) par le prévenu, soit après sa prise d’emploi, ne font état d’aucun changement dans sa situation personnelle ou financière. Dès lors, entre le 1er juillet 2019 et le 28 novembre 2019, le prévenu a perçu indûment des prestations à raison de 7'499 fr. 05 de la part de l'EVAM.</w:t>
      </w:r>
    </w:p>
    <w:p>
      <w:r>
        <w:rPr>
          <w:b/>
        </w:rPr>
        <w:t>E. 2.3</w:t>
      </w:r>
    </w:p>
    <w:p>
      <w:r>
        <w:t>Le 4 février 2021, l’EVAM a déposé plainte pénale et s’est constitué demandeur au pénal. Il n’a pas formulé de conclusions civiles, mais a précisé que le prévenu avait alors déjà remboursé 3'750 fr. sur les prestations indûment perçues. Aux débats de première instance, la représentante de l’EVAM a indiqué que le prévenu demeurait à ce jour le débiteur de cette institution à hauteur de 1'855 fr. 40.</w:t>
      </w:r>
    </w:p>
    <w:p>
      <w:r>
        <w:t>- 11 - Le prévenu a reconnu avoir travaillé pendant la période concernée, sans pour autant en informer directement son gestionnaire de dossier à l’EVAM lors des entretiens des 16 juillet et 11 septembre 2019 (P. 4/28 à 30). Aux débats de première instance, il a expliqué qu’il ne parlait que très peu le français et qu’il se présentait en général seul aux entretiens ayant lieu tous les deux mois, à l’occasion desquels étaient remplis, avec le gestionnaire de dossier de l’EVAM, les formulaires « Commande d’assistance financière ». Il n’aurait jamais compris les questions qui lui étaient posées. Il a ajouté que, jusqu’à l’ouverture de la présente procédure, il ignorait qu’il ne pouvait bénéficier d’un salaire et percevoir des indemnités de l’EVAM sans annoncer ses revenus. Le prévenu a affirmé en cours d’enquête, outre lors de son entretien du 18 juin 2020 avec le représentant de l’EVAM, qu’il pensait que son employeur d’alors avait fait le nécessaire auprès de l’EVAM. Il a au surplus indiqué que son assistant social, venu à son domicile le 28 novembre 2019 suite à son accident du travail déjà mentionné, avait été informé à cette occasion de sa prise d’emploi. Entendue aux débats de première instance, [...], fille du prévenu, a indiqué que, lors de sa prise d’emploi, son père pensait que son employeur ferait le nécessaire sur le plan administratif. Elle a ajouté qu’elle l’accompagnait pour fonctionner comme interprète aux entretiens d’une certaine importance, par exemple en cas de changement d’assistant social. La représentante de l’EVAM a expliqué à l’audience de première instance que le prévenu avait rendez-vous avec son gestionnaire de dossier tous les deux mois et que tous deux remplissaient ensemble le formulaire « Commande d’assistance financière », soit le document par lequel le requérant sollicitait des prestations financières de l’EVAM. Le gestionnaire de dossier a une activité administrative qui porte sur la subsidiarité des prestations de l’EVAM. Il s’informe auprès du bénéficiaire des éventuels changements de circonstances, par exemple dans la composition de la famille, dans les revenus ou encore dans la fortune.</w:t>
      </w:r>
    </w:p>
    <w:p>
      <w:r>
        <w:t>- 12 - Or, à cet égard, les formulaires « Commande d’assistance financière » signés les 16 juillet et 11 septembre 2019 (P. 4/28 à 30) par le prévenu, soit après sa prise d’emploi, ne font, comme déjà relevé et ainsi que l’a rappelé la représentante de l’EVAM à l’audience de première instance, état d’aucun changement dans sa situation personnelle ou financière. En d roit : 1. Interjeté dans les formes et délais légaux (art. 399 CPP) par une partie ayant la qualité pour recourir contre le jugement d’un tribunal de première instance ayant clos la procédure (art. 398 al. 1 CPP), l’appel est recevable.</w:t>
      </w:r>
    </w:p>
    <w:p>
      <w:r>
        <w:rPr>
          <w:b/>
        </w:rPr>
        <w:t>E. 3</w:t>
      </w:r>
    </w:p>
    <w:p>
      <w:r>
        <w:t>CP; ATF 140 IV 11 consid. 2.4.2; TF 6B_221/2020 précité consid. 1.1.2).</w:t>
      </w:r>
    </w:p>
    <w:p>
      <w:r>
        <w:rPr>
          <w:b/>
        </w:rPr>
        <w:t>E. 3.1</w:t>
      </w:r>
    </w:p>
    <w:p>
      <w:r>
        <w:t>L’appelant conteste sa condamnation pour escroquerie. Invoquant une violation de l’art. 146 CP, il fait valoir que son comportement n’aurait pas été astucieux et qu’il aurait agi en étant dépourvu d’intention délictueuse. Il se prévaut également, pour cette infraction, de la présomption d’innocence. Il y a lieu d’examiner d’abord ce dernier moyen, qui relève de l’examen des faits.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3.2.2</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- 14 -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Kuhn/Perrier Depeursinge [éd.], Code de procédure pénale suisse, Commentaire romand, 2e éd., Bâle 2019, n. 34 ad art. 10 CPP; Kistler Vianin, op. cit., nn. 19-20 ad art. 398 CPP et les références).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6B_1035/2020 du 20 mai 2021 consid. 1.1 et les réf. citées; TF 6B_621/2020 du 9 décembre 2020 consid. 1.1).</w:t>
      </w:r>
    </w:p>
    <w:p>
      <w:r>
        <w:t>- 15 -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3.3.1</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3.3.2</w:t>
      </w:r>
    </w:p>
    <w:p>
      <w:r>
        <w:t>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6B_825/2020 du 28 octobre 2020 consid. 4.1; TF 6B_397/2020 du 24 juillet 2020 consid. 6.1; TF 6B_344/2020 du 9 juillet 2020 consid. 3.1; TF 6B_286/2020 du 1er juillet 2020 consid. 1.3.1; TF 6B_704/2019 du 28 juin 2019 consid. 1.3 et les arrêts cités).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p. 24; TF 6B_397/2020 du 24 juillet 2020 précité consid. 6.1). Par ailleurs, un étranger peut se prévaloir de l'art. 8 par. 1 CEDH (et de l'art. 13 Cst.), qui garantit notamment le droit au respect de la vie familiale, pour s'opposer à l'éventuelle séparation de sa famille, pour</w:t>
      </w:r>
    </w:p>
    <w:p>
      <w:r>
        <w:t>- 22 - autant qu'il entretienne une relation étroite et effective avec une personne de sa famille ayant le droit de résider durablement en Suisse (ATF 144 II 1 consid. 6.1 p. 12;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ATF 135 I 143 consid. 1.3.2 p. 146; TF 6B_825/2020 du 28 octobre 2020 précité, ibid.; TF 6B_255/2020 du 6 mai 2020).</w:t>
      </w:r>
    </w:p>
    <w:p>
      <w:r>
        <w:rPr>
          <w:b/>
        </w:rPr>
        <w:t>E. 4</w:t>
      </w:r>
    </w:p>
    <w:p>
      <w:r>
        <w:t>C’est en vain que l’appelant invoque sa méconnaissance du français pour soutenir qu’il n’a pas compris ce que l’EVAM attendait de lui. En effet, il est évident qu’il a compris qu’il recevait une aide sociale pour son insuffisance de revenus lui permettant de vivre, en d’autres termes que cette assistance était soumise à une limite de revenus. Partant, il ne pouvait pas lui échapper qu’en travaillant sans annoncer ses revenus, il percevait indûment à la fois une aide et un salaire, donc qu’il réalisait un gain illicite en cumulant l’une et l’autre. Il est absurde de soutenir que c’était à son employeur qu’incombait l’obligation d’annonce à l’égard de l’EVAM. L’appelant est d’autant moins fondé à se prévaloir d’une telle ignorance que cela fait plus de vingt ans qu’il réside en Suisse, qu’il disposait des services d’un assistant social gestionnaire de son dossier,</w:t>
      </w:r>
    </w:p>
    <w:p>
      <w:r>
        <w:t>- 18 - qu’il a presque toujours bénéficié de l’aide sociale et qu’il a déjà été condamné pour escroquerie, de surcroît à raison d’actes perpétrés durant une période particulièrement prolongée, soit du 6 septembre 2015 au 11 janvier 2017. Le moyen déduit par l’appelant de sa bonne foi est d’autant moins crédible qu’il avait, de son propre aveu, soutenu lors d’une précédente procédure également que c’était à son employeur qu’incombait l’obligation d’annonce. Or, comme l’a relevé la représentante de l’EVAM aux débats de première instance, le prévenu avait déjà, en 2000, 2001, 2003 et 2004, exercé des activités temporaires sans les annoncer (jugement, p. 5-6). Le rapprochement de ces éléments commande de considérer qu’en 2019, comme auparavant déjà, le prévenu savait parfaitement qu’il avait l’obligation d’annoncer ses revenus aux services sociaux qui le prenaient en charge. On ne discerne donc aucune violation de la présomption d’innocence dans le fait d’écarter la thèse de la défense selon laquelle le prévenu n’aurait pas compris ce qu’il remplissait lorsque, mois après mois, il cochait – mensongèrement – sur le formulaire idoine la case selon laquelle il ne réalisait pas de revenus.</w:t>
      </w:r>
    </w:p>
    <w:p>
      <w:r>
        <w:rPr>
          <w:b/>
        </w:rPr>
        <w:t>E. 5</w:t>
      </w:r>
    </w:p>
    <w:p>
      <w:r>
        <w:t>S’agissant des éléments constitutifs objectifs de l’infraction d’escroquerie, il est de jurisprudence constante qu’il n’appartient pas aux services sociaux d’investiguer systématiquement la situation financière d’un bénéficiaire de prestations, compte tenu de l’ampleur des informations à gérer (cf. la jurisprudence résumée au considérant 3.3.2 ci- dessus). Dans le cas particulier, il faut constater que, durant près de la moitié de l’année 2019, l’appelant a, sans discontinuer, réalisé des revenus sans les annoncer et qu’il a rempli, durant cette période, deux formulaires de demande de prestations certifiant qu’il ne réalisait aucun revenu. Ce n’est que fortuitement que l’EVAM a appris, par l’épouse de l’appelant, que ce dernier avait eu un accident du travail, donc qu’il exerçait une activité lucrative et qu’il percevait du reste des prestations en espèces de la SUVA en relation avec cet accident. La vérification des</w:t>
      </w:r>
    </w:p>
    <w:p>
      <w:r>
        <w:t>- 19 - informations données ne pouvait donc pas être raisonnablement exigée de l’EVAM. De même, contrairement à ce que fait plaider l’appelant, on ne saurait croire à la naïveté, ni, partant, à la bonne foi, d’un auteur au bénéfice d’une aussi longue expérience de l’aide sociale. Comme déjà relevé, l’intéressé ne pouvait que connaître l’obligation d’annonce qui lui incombait. La dissimulation de revenus par le prévenu était donc bien astucieuse au sens légal. Induit en erreur de la sorte, l’EVAM a été amené à verser des prestations indues, soit à accomplir des actes de disposition préjudiciables à ses intérêts. Les éléments constitutifs objectifs et subjectifs de l’escroquerie sont donc réalisés.</w:t>
      </w:r>
    </w:p>
    <w:p>
      <w:r>
        <w:rPr>
          <w:b/>
        </w:rPr>
        <w:t>E. 6</w:t>
      </w:r>
    </w:p>
    <w:p>
      <w:r>
        <w:t>L’appelant conclut en outre à ce que le sursis assortissant la peine pécuniaire de 90 jours-amende prononcée le 20 février 2018 par le Ministère public de l’arrondissement du Nord vaudois ne soit pas révoqué. A défaut de tout moyen formulé par l’appelant à l’appui de cette conclusion, force est d’admettre que celle-ci présuppose l’admission de la conclusion portant sur sa libération des fins de l’action pénale. Quoi qu’il en soit, le moyen doit être rejeté. L’auteur ayant agi durant le délai d’épreuve assortissant la peine précédente dans les circonstances déjà décrites, il suffit dès lors de constater que les conditions de la révocation du sursis (art. 46 al. 1, 1re phrase, CP) sont réunies. De même, c’est à bon droit que le Tribunal de police a prononcé une peine d’ensemble (art. 46 al. 1, 2e phrase, CP). Il suffit, à cet égard, de renvoyer aux motifs du premier juge (art. 82 al. 4 CPP). Il en va de même de la quotité de la peine, non contestée en elle- même.</w:t>
      </w:r>
    </w:p>
    <w:p>
      <w:r>
        <w:rPr>
          <w:b/>
        </w:rPr>
        <w:t>E. 7.1.1</w:t>
      </w:r>
    </w:p>
    <w:p>
      <w:r>
        <w:t>Selon l'art. 66a al. 1 let. e CP, le juge expulse de Suisse l'étranger qui est condamné, notamment, pour escroquerie (art. 146 al. 1</w:t>
      </w:r>
    </w:p>
    <w:p>
      <w:r>
        <w:t>- 20 - CP) à une assurance sociale ou à l’aide sociale,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 Peu importe également que le degré de réalisation des infractions soit demeuré limité à la tentative. En effet, l’expulsion selon l’art. 66a CP se justifie également en cas d’infraction seulement tentée (ATF 144 IV 168), comme tel est le cas en l’espèce du vol et de la violation de domicile.</w:t>
      </w:r>
    </w:p>
    <w:p>
      <w:r>
        <w:rPr>
          <w:b/>
        </w:rPr>
        <w:t>E. 7.1.2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7.1.3</w:t>
      </w:r>
    </w:p>
    <w:p>
      <w:r>
        <w:t>La clause de rigueur de l'art. 66a al. 2 CP permet de garantir le principe de la proportionnalité (art. 5 al. 2 Cst.). Elle doit être appliquée de manière restrictive (ATF 146 IV 105 consid. 3.4.2 p. 108; ATF 144 IV 332 consid. 3.3.1 p. 340). Selon la jurisprudence du Tribunal fédéral (ATF 146 IV 105 consid. 3.4 p. 108 ss; ATF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w:t>
      </w:r>
    </w:p>
    <w:p>
      <w:r>
        <w:t>- 21 -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w:t>
      </w:r>
    </w:p>
    <w:p>
      <w:r>
        <w:rPr>
          <w:b/>
        </w:rPr>
        <w:t>E. 7.2</w:t>
      </w:r>
    </w:p>
    <w:p>
      <w:r>
        <w:t>S’agissant d’un cas d’expulsion obligatoire (art. 66a al. 1 let. e CP, précité), seule une intégration complète et réussie en Suisse pourrait commander que l’intérêt public évident à expulser le prévenu cède le pas à ses intérêts privés à rester dans notre pays. Or, l’intégration du prévenu est mauvaise. En effet, vivant en Suisse dès 1999, il ne parle pas le français, à telle enseigne qu’il a dû être assisté d’un interprète aux audiences de première instance et d’appel. En outre, il a longtemps émargé à l’aide sociale et n’a travaillé que de manière sporadique. De surcroît, il a déjà été condamné pour escroquerie. Ses enfants sont majeurs et indépendants financièrement, de sorte qu’ils n’ont plus besoin de lui. Il pourra revoir sa famille au Kosovo, où les soins résultant de son accident du travail pourront lui être prodigués, à défaut de tout élément au dossier démontrant que ses séquelles nécessiteraient des thérapies spécifiques. Enfin, les moyens de télécommunication modernes lui permettront de demeurer en contact continu avec les siens demeurés en Suisse (TF 6B_1174/2020 du 23 juin 2021; cf., à cet égard également, TF 6B_627/2021 du 27 août 2021 consid. 4.3.3). Les conditions de la clause de rigueur de l'art. 66a al. 2 CP ne sont donc pas réunies. Pour le reste, le délai de l’expulsion a été fixé au minimum légal de cinq ans.</w:t>
      </w:r>
    </w:p>
    <w:p>
      <w:r>
        <w:rPr>
          <w:b/>
        </w:rPr>
        <w:t>E. 8</w:t>
      </w:r>
    </w:p>
    <w:p>
      <w:r>
        <w:t>Vu l’issue de l’appel, l’émolument d’appel, par 2'050 fr. (art. 21 al. 1 et 2 TFIP [Tarif des frais de procédure et indemnités en matière</w:t>
      </w:r>
    </w:p>
    <w:p>
      <w:r>
        <w:t>- 23 - pénale du 28 septembre 2010; RSV 312.03.1]) sera mis à la charge de l’appelant, qui succombe (art. 428 al. 1, 1re phrase, CPP). Les frais d’appel comprennent, outre l’émolument, l’indemnité en faveur du défenseur d’office du prévenu (art. 422 al. 1 et al. 2 let. a CPP). L’indemnité de défense d’office doit être arrêtée sur la base de la liste d’opérations produite (P. 30), à cette réserve près que l’audience d’appel a duré une heure de moins que le temps annoncé. Il y a ainsi lieu de retenir une durée d’activité d’avocate de onze heures et 25 minutes, y compris l’audience d’appel, ce qui correspond à des honoraires de 2'055 francs. Aux honoraires il convient d’ajouter des débours forfaitaires à concurrence de 2 % (art. 3bis al. 1 RAJ [Règlement du 7 décembre 2010 sur l'assistance judiciaire en matière civile; BLV 211.02.3], applicable par renvoi de l’art. 26b TFIP), ainsi qu’une vacation d’un montant forfaitaire de 120 fr. pour l’audience d’appel, plus la TVA sur le tout. L’indemnité s’élève donc à 2'386 fr. 75, débours et TVA compris. L’appelant sera tenu de rembourser l’indemnité de défense d’office prévue ci-dessus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