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PE21.002672 vom 5. Juni 2024</w:t>
      </w:r>
    </w:p>
    <w:p>
      <w:r>
        <w:t>VD Tribunal cantonal, 2024-06-05, FR</w:t>
      </w:r>
    </w:p>
    <w:p>
      <w:r>
        <w:rPr>
          <w:b/>
        </w:rPr>
        <w:t xml:space="preserve">Quelle: </w:t>
      </w:r>
      <w:r>
        <w:t>https://mcp.opencaselaw.ch/entscheid/vd_gerichte_PE21.002672</w:t>
      </w:r>
    </w:p>
    <w:p>
      <w:r>
        <w:t>FR: VD_GERICHTE PE21.002672 du 5 juin 2024</w:t>
      </w:r>
    </w:p>
    <w:p>
      <w:r>
        <w:t>IT: VD_GERICHTE PE21.002672 del 5 giugno 2024</w:t>
      </w:r>
    </w:p>
    <w:p>
      <w:pPr>
        <w:pStyle w:val="Heading2"/>
      </w:pPr>
      <w:r>
        <w:t>Erwägungen</w:t>
      </w:r>
    </w:p>
    <w:p>
      <w:r>
        <w:rPr>
          <w:b/>
        </w:rPr>
        <w:t>E. 4.1</w:t>
      </w:r>
    </w:p>
    <w:p>
      <w:r>
        <w:t>L’appelant invoque ensuite une mauvaise application de l’art. 117 CP. Il fait valoir que toutes les causes d’une inattention de sa part pourraient être écartées en l’espèce et qu’on ne saurait lui reprocher d’avoir porté son attention sur le carrefour en amont, où il aurait pu s’attendre à voir traverser des piétons. Il se prévaut en outre des circonstances exceptionnelles de l’accident, concernant les mauvaises conditions de visibilité et la trajectoire imprévisible du piéton.</w:t>
      </w:r>
    </w:p>
    <w:p>
      <w:r>
        <w:rPr>
          <w:b/>
        </w:rPr>
        <w:t>E. 4.2.1</w:t>
      </w:r>
    </w:p>
    <w:p>
      <w:r>
        <w:t>L’art. 117 CP, qui réprime l’homicide par négligence, suppose la réunion de trois conditions : le décès d’une personne, une négligence et un lien de causalité entre la négligence et la mort (ATF 122 IV 145 consid. 3). La négligence est définie à l’art. 12 al. 3 CP,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(ATF 126 IV 91 consid. 4a/aa ; ATF 122 IV 133 consid. 2a).</w:t>
      </w:r>
    </w:p>
    <w:p>
      <w:r>
        <w:rPr>
          <w:b/>
        </w:rPr>
        <w:t>E. 4.2.2</w:t>
      </w:r>
    </w:p>
    <w:p>
      <w:r>
        <w:t>L’art. 26 LCR (loi fédérale sur la circulation routière du 19 décembre 1958 ; RS 741.01) prescrit de manière générale à chacun un</w:t>
      </w:r>
    </w:p>
    <w:p>
      <w:r>
        <w:t>- 28 -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(art. 31 al. 1 LCR). L'art. 3 al. 1 OCR (ordonnance sur les règles de la circulation routière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 TF 6B_665/2015 du 15 septembre 2016 consid. 2.2). Lorsqu'un conducteur doit prêter son attention visuelle principalement dans une direction déterminée, on peut admettre que son attention soit moindre dans les autres (ATF 122 IV 225 consid. 2b ; TF 6B_1157/2016 du 28 mars 2017 consid. 4.3). Le conducteur doit avant tout porter son attention, outre sur sa propre voie de circulation (cf. TF 6B_783/2008 du 4 décembre 2008 consid. 3.3), sur les dangers auxquels on doit s'attendre et peut ne prêter qu'une attention secondaire à d'éventuels comportements inhabituels ou aberrants (ATF 122 IV 225 consid. 2c ; TF 6B_1157/2016 du 28 mars 2017 consid. 4.3).</w:t>
      </w:r>
    </w:p>
    <w:p>
      <w:r>
        <w:rPr>
          <w:b/>
        </w:rPr>
        <w:t>E. 4.2.3</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w:t>
      </w:r>
    </w:p>
    <w:p>
      <w:r>
        <w:t>- 29 -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4.3</w:t>
      </w:r>
    </w:p>
    <w:p>
      <w:r>
        <w:t>En l’espèce, l’expertise a établi que, dans l’hypothèse la plus favorable à l’appelant, un véhicule roulant à une vitesse de 50 km/h disposait d’une distance de 40 mètres pour s’arrêter, ce qui correspondait à la distance à partir de laquelle le piéton devenait facilement décelable. Si l’appelant roulait à une vitesse inférieure, comme estimé au moment de la réaction, soit entre 35 km/h et 41 km/h, le piéton était d’autant plus visible et l’intéressé disposait d’une distance pour s’arrêter comprise entre 16.6 et 20.6 mètres (P. 72, pp. 3 et 29). Enfin, il a été démontré que l’intéressé n’avait pas été ébloui par des phares de véhicules venant en sens inverse. Compte tenu de ce qui précède, l’appelant était donc en mesure d’apercevoir et de freiner avant d’heurter B.G.________, et donc d’éviter l’accident, s’il avait fait preuve de l’attention requise par les circonstances.</w:t>
      </w:r>
    </w:p>
    <w:p>
      <w:r>
        <w:t>- 30 - Certes, la victime cheminait de nuit en dehors d’un passage protégé alors qu’elle était vêtue d’un pull gris clair. Toutefois, un tel comportement, s’il est également fautif, n’en est toutefois pas inhabituel au point d’être imprévisible et aberrant. Il n’est en effet pas exceptionnel que des piétons utilisent librement la chaussée pour traverser la route en zone urbaine, le fait que les établissements publics aient été fermés pendant la pandémie liée au Covid-19 n’y change rien. L’argumentation de l’appelant s’agissant du comportement de la victime juste avant l’accident est également vaine. En effet, sa thèse selon laquelle « la stagnation » de la victime aux abords de la ligne de démarcation aurait eu une incidence sur sa visibilité est contredite par l’expertise (cf. supra consid. 3.3). Il n’est pas non plus extraordinaire qu’un piéton qui traverse une chaussée en dehors des clous puisse accomplir un pas en arrière. Dans ces conditions, le comportement adopté par B.G.________ ne constituait pas un événement imprévisible au point que le défaut d’attention de l’appelant doit être relégué à l’arrière-plan. En définitive, l’inattention de l’appelant est bien fautive et c’est en vain qu’il plaide l’absence de cause vraisemblable à cette inattention. Avec le premier juge, il faut admettre que K.________ a porté son attention plus loin, en direction de la signalisation lumineuse au vert (PV aud. 2, p. 2) et qu’en maintenant son attention dans cette direction pour s’assurer qu’il pourrait franchir la signalisation lumineuse sans s’arrêter, il a perdu de vue les obstacles devant son véhicule. La durée du défaut d’attention permet de considérer que le prévenu aurait pu éviter le choc en usant de toutes les précautions commandées par les circonstances, même s’il faut admettre, avec le premier juge également, que sa faute est légère. Partant, la condamnation de l’appelant pour homicide par négligence, doit être confirmée.</w:t>
      </w:r>
    </w:p>
    <w:p>
      <w:r>
        <w:rPr>
          <w:b/>
        </w:rPr>
        <w:t>E. 5</w:t>
      </w:r>
    </w:p>
    <w:p>
      <w:r>
        <w:t>- 31 -</w:t>
      </w:r>
    </w:p>
    <w:p>
      <w:r>
        <w:rPr>
          <w:b/>
        </w:rPr>
        <w:t>E. 5.1</w:t>
      </w:r>
    </w:p>
    <w:p>
      <w:r>
        <w:t>L’appelant fait ensuite valoir que les conclusions civiles, allouées à la partie civile auraient dû être réduites en application de l’art. 44 CO, pour tenir compte de la faute concomitante de la victime.</w:t>
      </w:r>
    </w:p>
    <w:p>
      <w:r>
        <w:rPr>
          <w:b/>
        </w:rPr>
        <w:t>E. 5.2</w:t>
      </w:r>
    </w:p>
    <w:p>
      <w:r>
        <w:t>Aux termes de l’art. 44 al. 1 CO (loi fédérale complétant le Code civile suisse, Livre cinquième : Droit des obligations du 30 mars 1911 ; RS 220),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références citées ; cf. également ATF 138 III 252 consid. 2.1) – suppose que le comportement reproché au lésé soit en rapport de causalité naturelle et adéquate avec la survenance du préjudice (ATF 126 III 192 consid. 2d).</w:t>
      </w:r>
    </w:p>
    <w:p>
      <w:r>
        <w:rPr>
          <w:b/>
        </w:rPr>
        <w:t>E. 5.3</w:t>
      </w:r>
    </w:p>
    <w:p>
      <w:r>
        <w:t>En l’espèce, B.G.________ a adopté un comportement dangereux en traversant une artère fréquentée, de nuit, en dehors d’un passage piéton. Il s’ensuit qu’une faute concomitante doit lui être imputée. Il s’agit toutefois d’une faute légère, de la même importance que</w:t>
      </w:r>
    </w:p>
    <w:p>
      <w:r>
        <w:t>- 32 - celle du prévenu, le premier juge ayant qualifié à juste titre l’inattention du prévenu de faute légère. Au vu de l’importance des fautes respectives, il convient de réduire de moitié les prétentions civiles allouées à C.G.________. C’est ainsi 3'034 fr. 60, avec intérêt à 5% l’an dès le 1er janvier 2023 qui lui seront alloués au titre de dommages et intérêts pour le préjudice matériel subi et 15'000 fr., avec intérêt à 5% l’an dès le 10 février 2021, qui lui seront alloués au titre dommages et intérêts pour le tort moral subi.</w:t>
      </w:r>
    </w:p>
    <w:p>
      <w:r>
        <w:rPr>
          <w:b/>
        </w:rPr>
        <w:t>E. 6</w:t>
      </w:r>
    </w:p>
    <w:p>
      <w:r>
        <w:t>La sanction n’est pas critiquée en tant que telle, mais doit être revue d’office. Le premier juge a prononcé une peine pécuniaire de 15 jours-amende à 30 fr. le jour, avec sursis pendant deux ans.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w:t>
      </w:r>
    </w:p>
    <w:p>
      <w:r>
        <w:t>- 33 - et au cours de la procédure pénale (ATF 142 IV 137 consid. 9.1, JdT 2016 I 169 ; ATF 141 IV 61 consid. 6.1.1 et les références citées).</w:t>
      </w:r>
    </w:p>
    <w:p>
      <w:r>
        <w:rPr>
          <w:b/>
        </w:rPr>
        <w:t>E. 6.1.2</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6.2</w:t>
      </w:r>
    </w:p>
    <w:p>
      <w:r>
        <w:t>En l’espèce, K.________ s’est rendu coupable d’homicide par négligence, infraction passible d’une peine privative de liberté de trois ans au plus ou d’une peine pécuniaire. Comme on l’a vu, la faute de l’appelant est légère. La peine pécuniaire de 15 jours-amende à 30 fr. le jour, avec sursis pendant deux ans, prononcée par le premier juge a donc été fixée en application des critères légaux rappelés ci-dessus et conformément à la culpabilité et la situation personnelle de K.________. Elle doit dès lors être confirmée pour les motifs exposés dans le jugement attaqué (cf. jgmt, p. 23).</w:t>
      </w:r>
    </w:p>
    <w:p>
      <w:r>
        <w:rPr>
          <w:b/>
        </w:rPr>
        <w:t>E. 7</w:t>
      </w:r>
    </w:p>
    <w:p>
      <w:r>
        <w:t>En définitive, l’appel doit être partiellement admis et le jugement querellé modifié au chiffre III de son dispositif.</w:t>
      </w:r>
    </w:p>
    <w:p>
      <w:r>
        <w:t>- 34 - Compte tenu de la confirmation de la condamnation de l’appelant, il n’y a pas lieu de revenir sur répartition des frais de justice de première instance. L’appelant ne peut pas non plus prétendre à l’allocation d’une indemnité au sens de l’art. 429 CPP. Me Isabelle Jaques, conseil d’office d’A.G.________ et C.G.________ a produit une liste des opérations faisant état de 5h36 d’activité. Cette durée est adéquate, sous réserve d’une durée de 12 minutes, relative à quatre avis de transmission de 3 minutes, qui correspondent à des tâches de secrétariat entrant dans les frais généraux de l’avocat (CAPE 20 juillet 2021/284 consid. 11.2 et les réf. citées). Il faut en revanche ajouter 1h10 pour tenir compte de la durée effective de l’audience. C’est donc une indemnité pour la procédure d’appel d’un montant de 1'433 fr., correspondant à 6h34 d’activité d’avocat breveté, plus une vacation à 120 fr., plus 23 fr. 64 de débours (2% des honoraires), plus 107 fr. 37 de TVA (8,1%), qui sera allouée à Me Isabelle Jaques. Vu l’issue de la cause, les frais de la procédure d’appel, par 4’773 fr., constitués de l’émolument de jugement et d’audience, par 3’340 fr. (art. 21 al. 1 et 2 TFIP [tarif des frais de procédure et indemnités en matière pénale du 28 septembre 2010 ; BLV 312.03.1]), ainsi que de l’indemnité allouée au conseil d’office, seront mis par deux tiers à la charge de K.________, le solde étant laissé à la charge de l’Etat (art. 428 al. 1 CPP). K.________ sera tenu de rembourser à l’Etat les deux tiers de l’indemnité du conseil d’office d’A.G.________ et C.G.________, dès que sa situation financière le permettra (art. 135 al. 4 CPP par renvoi de l’art. 138 CPP). Le dispositif du jugement communiqué aux parties après l’audience, omettant à tort de le préciser, il sera rectifié d’office par l’ajout à son dispositif d’un chiffre IVbis (art. 83 CPP).</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