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PE21.002100 vom 16. Januar 2023</w:t>
      </w:r>
    </w:p>
    <w:p>
      <w:r>
        <w:t>VD Tribunal cantonal, 2023-01-16, FR</w:t>
      </w:r>
    </w:p>
    <w:p>
      <w:r>
        <w:rPr>
          <w:b/>
        </w:rPr>
        <w:t xml:space="preserve">Quelle: </w:t>
      </w:r>
      <w:r>
        <w:t>https://mcp.opencaselaw.ch/entscheid/vd_gerichte_PE21.002100</w:t>
      </w:r>
    </w:p>
    <w:p>
      <w:r>
        <w:t>FR: VD_GERICHTE PE21.002100 du 16 janvier 2023</w:t>
      </w:r>
    </w:p>
    <w:p>
      <w:r>
        <w:t>IT: VD_GERICHTE PE21.002100 del 16 gennaio 2023</w:t>
      </w:r>
    </w:p>
    <w:p>
      <w:pPr>
        <w:pStyle w:val="Heading2"/>
      </w:pPr>
      <w:r>
        <w:t>Erwägungen</w:t>
      </w:r>
    </w:p>
    <w:p>
      <w:r>
        <w:rPr>
          <w:b/>
        </w:rPr>
        <w:t>E. 5.1</w:t>
      </w:r>
    </w:p>
    <w:p>
      <w:r>
        <w:t>L’appelant conteste la quotité de la peine privative de liberté de 3 ans et 6 mois prononcée à son encontre. Il fait grief au tribunal correctionnel de n’avoir fait mention que d’éléments à charge et de l’avoir accablé. Il prétend que les peines seraient chiffrées et additionnées sans aucune motivation, pas même sur le fait qu’il s’agirait d’une peine complémentaire pour les cas 1 à 3 de l’acte d’accusation, soit des chiffres 2.1 à 2.3 ci-dessus.</w:t>
      </w:r>
    </w:p>
    <w:p>
      <w:r>
        <w:rPr>
          <w:b/>
        </w:rPr>
        <w:t>E. 5.2</w:t>
      </w:r>
    </w:p>
    <w:p>
      <w:r>
        <w:t>- 24 -</w:t>
      </w:r>
    </w:p>
    <w:p>
      <w:r>
        <w:rPr>
          <w:b/>
        </w:rPr>
        <w:t>E. 5.2.1</w:t>
      </w:r>
    </w:p>
    <w:p>
      <w:r>
        <w:t>Le juge fixe la quotité de la peine d’après la culpabilité de l’auteur (art. 47CP).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la vulnérabilité face à la peine et le comportement après l’acte et au cours de la procédure pénale (ATF 141 IV 61 consid. 6.1.1 et les réf. citées).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w:t>
      </w:r>
    </w:p>
    <w:p>
      <w:r>
        <w:t>- 25 -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 2.2 ; ATF 138 IV 120 précité consid. 5.2). Si les sanctions envisagées concrètement ne sont pas du même genre, elles doivent être prononcées cumulativement (ATF 144 IV 313 précité consid. 1.1 ; ATF 142 IV 265 précité consid. 2.3.2 ; ATF 138 IV 120 précité consid. 5.2 ; ATF 137 IV 57 consid. 4.3.1). La peine privative de liberté et la peine pécuniaire ne sont pas des sanctions du même genre (ATF 144 IV 313 précité consid. 1.1 ; ATF 144 IV 217 précité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 citées ; TF 6B_144/2019 du 17 mai 2019 consid. 4.3.1).</w:t>
      </w:r>
    </w:p>
    <w:p>
      <w:r>
        <w:rPr>
          <w:b/>
        </w:rPr>
        <w:t>E. 5.3</w:t>
      </w:r>
    </w:p>
    <w:p>
      <w:r>
        <w:t>A l’instar du tribunal correctionnel, il y a lieu de retenir que la culpabilité de l’appelant est extrêmement lourde. En effet, V.________ a récidivé quelques semaines seulement après sa condamnation du 20 janvier 2021, pour notamment lésions corporelles simples, injures et menaces, ainsi qu’infraction à loi fédérale sur les stupéfiants et les substances psychotropes du 3 octobre 1951 (RS 812.121) et délit à la loi fédérale sur les armes, les accessoires d’armes et les munitions du 20 juin 1997 (RS 514.54). Le prononcé d’une peine privative de liberté ferme de 12 mois n’a donc eu aucun effet sur lui. Il était également coutumier des</w:t>
      </w:r>
    </w:p>
    <w:p>
      <w:r>
        <w:t>- 26 - disputes et des bagarres. A ce titre, son casier judiciaire contient onze condamnations, dont plusieurs à des peines fermes d’emprisonnement, et il ressort de l’expertise psychiatrique que M.________ n’était pas la première petite amie du prévenu malmenée par celui-ci. Par ailleurs, il est relevé qu’il a fait preuve de violence et était détaché, méthodique, froid et efficace. Son attitude en procédure était en outre mauvaise, il a ergoté et minimisé ses actes. Il n’y a pas de prise de conscience, même si lors de l’audience d’appel il a néanmoins admis avoir pu mettre en danger la vie de M.________. Les expertes psychiatres ont largement constaté qu’il était intolérant à toute contrariété et à toute frustration et que son trouble, qui laisse sa responsabilité pénale pleine et entière, sera difficile à traiter. Actuellement, il n’est pas suivi par un psychothérapeute, mais a toutefois adhéré en appel à la mise en œuvre d’un traitement ambulatoire. Enfin, l’appelant reproche au tribunal correctionnel de ne pas avoir retenu d’éléments à décharge, mais il n’en mentionne pas non plus dans ses écritures. Il sera toutefois retenu qu’il indemnise ses victimes – ce qui est la moindre des choses – et que la Direction de détention fribourgeois de Bellechasse a émis un préavis favorable le 7 juillet 2023 au passage en secteur ouvert du prévenu, compte tenu de son bon comportement, étant cependant rappelé qu’il a été sanctionné disciplinairement dans le cadre de son incarcération. Au vu de ce qui précède et pour des raisons de prévention spéciale évidentes, une peine privative de liberté s’impose pour toutes les infractions à considérer. L’appelant a été condamné le 9 décembre 2020 par le Ministère public de l’arrondissement de Lausanne pour violation de domicile à une peine pécuniaire de 10 jours-amende à 30 fr. et le 20 janvier 2021 par le Tribunal correctionnel à 12 mois d’emprisonnement ferme. La peine est complémentaire à celle prononcée le 20 janvier 2021, pour les infractions d’escroquerie, de faux dans les titres et de conduite d’un véhicule automobile sans autorisation (cas 1 et 2 de l’acte d’accusation ; cf. supra ch. 2.1 et 2.2). Pour le cas 3 (cf. supra ch. 2.3), la peine est partiellement complémentaire à celle du 9 décembre 2020, sans qu’il soit nécessaire d’en tenir compte, au vu du genre de peine prononcé par le Ministère public. Par ailleurs, les infractions retenues dans le cas</w:t>
      </w:r>
    </w:p>
    <w:p>
      <w:r>
        <w:t>- 27 - d’espèce sont différentes de celles retenues par le Tribunal correctionnel le 20 janvier 2021, ce qui exclut toute problématique liée au dépassement d’une peine plafond. Dans ces circonstances, au vu de la lourde culpabilité de l’appelant, en particulier en lien avec les infractions à la loi fédérale sur la circulation routière où il n’y a aucune prise de conscience et où la récidive est plus que caractérisée, une peine privative de liberté ferme de</w:t>
      </w:r>
    </w:p>
    <w:p>
      <w:r>
        <w:rPr>
          <w:b/>
        </w:rPr>
        <w:t>E. 6</w:t>
      </w:r>
    </w:p>
    <w:p>
      <w:r>
        <w:t>Conformément à l’art. 51 CP, la détention subie depuis le jugement de première instance sera déduite de la peine privative de liberté prononcée. Pour garantir l’exécution de sa peine et compte tenu du risque de récidive qu’il présente, il convient en outre d’ordonner le maintien de V.________ en exécution anticipée de peine.</w:t>
      </w:r>
    </w:p>
    <w:p>
      <w:r>
        <w:rPr>
          <w:b/>
        </w:rPr>
        <w:t>E. 7</w:t>
      </w:r>
    </w:p>
    <w:p>
      <w:r>
        <w:t>En définitive, l’appel de V.________ doit être rejeté et le jugement entrepris intégralement confirmé. Il n’y a pas lieu de s’écarter de la liste des opérations produite par Me Coralie Devaud, défenseur d’office de V.________. Au tarif horaire de 180 fr. qui s’applique pour les avocats (cf. art. 2 al. 1 let. a RAJ [règlement sur l’assistance judiciaire en matière civile ; BLV 211.02.3]), les honoraires du conseil d’office s’élèvent à 3’555 fr. (19.75 heures x 180 fr.), auxquels s’ajoutent des débours forfaitaires de 2 %, par 71 fr. 10, deux vacations de 240 fr. au total et la TVA à 7,7 % sur le tout, par 297 fr. 70, soit une indemnité d’office de 4’164 fr. arrondie.</w:t>
      </w:r>
    </w:p>
    <w:p>
      <w:r>
        <w:t>- 28 - En outre, il n’y a pas lieu de s’écarter de la liste des opérations produite par Me Luisa Bottarelli, conseil juridique gratuit de M.________, sous réserve des 1 heure et 50 minutes à ajouter concernant l’audience d’appel, ainsi qu’une vacation à 120 francs. Au tarif horaire de 180 fr. qui s’applique pour les avocats (cf. art. 2 al. 1 let. a RAJ), les honoraires du conseil d’office s’élèvent à 1’519 fr. 20 (8.44 heures x 180 fr.), auxquels s’ajoutent des débours forfaitaires de 2 %, par 30 fr. 40, une vacation de 120 fr., et la TVA à 7,7 % sur le tout, par 128 fr. 60, soit une indemnité d’office de 1’799 fr. arrondie. Vu l’issue de la cause, les frais de la procédure d’appel, par 8’863 fr., constitués en l’espèce de l’émolument de jugement et d’audience, par 2’900 fr. (cf. art. 21 al. 1 et 2 TFIP [Tarif des frais de procédure et indemnités en matière pénale du 28 septembre 2010 ; BLV 312.03.1]), ainsi que de l’indemnité allouée au défenseur d’office, par 4’164 fr., et celle allouée au conseil juridique gratuit par 1’799 fr., seront mis à la charge de V.________, qui succombe (art. 428. al. 1 CPP). V.________ ne sera tenu de rembourser à l’Etat le montant des indemnités en faveur des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