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PE21.002012 vom 2. Dezember 2021</w:t>
      </w:r>
    </w:p>
    <w:p>
      <w:r>
        <w:t>VD Tribunal cantonal, 2021-12-02, FR</w:t>
      </w:r>
    </w:p>
    <w:p>
      <w:r>
        <w:rPr>
          <w:b/>
        </w:rPr>
        <w:t xml:space="preserve">Quelle: </w:t>
      </w:r>
      <w:r>
        <w:t>https://mcp.opencaselaw.ch/entscheid/vd_gerichte_PE21.002012</w:t>
      </w:r>
    </w:p>
    <w:p>
      <w:r>
        <w:t>FR: VD_GERICHTE PE21.002012 du 2 décembre 2021</w:t>
      </w:r>
    </w:p>
    <w:p>
      <w:r>
        <w:t>IT: VD_GERICHTE PE21.002012 del 2 dicembre 2021</w:t>
      </w:r>
    </w:p>
    <w:p>
      <w:pPr>
        <w:pStyle w:val="Heading2"/>
      </w:pPr>
      <w:r>
        <w:t>Erwägungen</w:t>
      </w:r>
    </w:p>
    <w:p>
      <w:r>
        <w:rPr>
          <w:b/>
        </w:rPr>
        <w:t>E. 1</w:t>
      </w:r>
    </w:p>
    <w:p>
      <w:r>
        <w:t>Au vu de l’évidente connexité entre les recours déposés par C.________ et A.V.________, il y a lieu de statuer sur leur sort dans un seul arrêt. Les procédures de recours sont donc jointes.</w:t>
      </w:r>
    </w:p>
    <w:p>
      <w:r>
        <w:rPr>
          <w:b/>
        </w:rPr>
        <w:t>E. 2.1</w:t>
      </w:r>
    </w:p>
    <w:p>
      <w:r>
        <w:t>Le recours contre le refus de l’autorité compétente de désigner un défenseur d’office est ouvert aux conditions définies aux art. 393 ss CPP (ATF 140 IV 202 ; Moreillon/ Parein-Reymond, Petit commentaire, Code de procédure pénale, 2e éd., Bâle 2016, n. 18 ad art. 132 CPP). La décision peut être attaquée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2.2</w:t>
      </w:r>
    </w:p>
    <w:p>
      <w:r>
        <w:t>Le recours s’exerce par le dépôt d’un mémoire écrit et dûment motivé (art. 390 al. 1 et 396 al. 1 CPP). Les exigences de motivation du recours sont posées à l’art. 385 al. 1 CPP. A teneur de cette disposition, la personne ou l’autorité qui recourt doit indiquer précisément les points de la décision qu’elle attaque (let. a), les motifs qui commandent une autre décision (let. b) et les moyens de preuves qu’elle invoque (let. c). Si le mémoire ne satisfait pas à ces exigences, l’autorité de recours le renvoie au recourant pour qu’il le complète dans un bref délai. Si, après l’expiration de ce délai supplémentaire, le mémoire ne satisfait toujours</w:t>
      </w:r>
    </w:p>
    <w:p>
      <w:r>
        <w:t>- 4 - pas à ces exigences, l’autorité de recours n’entre pas en matière (art. 385 al. 2 CPP).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(Ziegler/Keller, in : Niggli/ Heer/Wiprächtiger [éd.], Basler Kommentar, Schweizerische Strafprozessordnung, Jugendstrafprozessordnung, 2e éd., Bâle 2014, n. 1a ad art. 385 CPP ; Pitteloud, Code de procédure pénale suisse, Commentaire à l’usage des praticiens, Zurich/St-Gall 2012, n. 1126). Le recourant doit ensuite énoncer « les motifs qui commandent une autre décision » (art. 385 al. 1 let. b CPP), à savoir les arguments, de fait ou de droit, sur lesquels il prétend se fonder pour faire modifier la décision en sa faveur (Lieber, in : Donatsch/Lieber/Summers/Wohlers [éd.], Kommentar zur Schweizerischen Strafprozessordnung, 3e éd., Zurich/Bâle/Genève 2020, n. 2 ad art. 385 CPP ; Pitteloud, op. et loc. cit.). Ainsi, il doit indiquer dans quelle mesure et sous quel angle il entend critiquer l’établissement des faits ou l’application du droit (Calame, in : Jeanneret/Kuhn/Perrier Depeursinge, Commentaire romand, Code de procédure pénale suisse, 2e éd., Bâle 2019, n. 20 ad art. 385 CPP).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w:t>
      </w:r>
    </w:p>
    <w:p>
      <w:r>
        <w:t>- 5 - la prolongation des délais fixés par la loi et n’autorise pas la partie à compléter un acte dépourvu de motivation (TF 6B_609/2021 du 19 juillet 2021 consid. 2.4 ; TF 6B_510/2020 du 15 septembre 2020 consid. 2.2).</w:t>
      </w:r>
    </w:p>
    <w:p>
      <w:r>
        <w:rPr>
          <w:b/>
        </w:rPr>
        <w:t>E. 2.3</w:t>
      </w:r>
    </w:p>
    <w:p>
      <w:r>
        <w:t>En l’espèce, les recourants font valoir qu’ils n’ont pas les moyens d’avoir un avocat. Toutefois, la procureure n’a pas contesté leur indigence dans les ordonnances attaquées. Elle a uniquement expliqué que la cause était simple et que les faits qui étaient reprochés aux prévenus étaient de peu de gravité, si bien que la désignation d’un défenseur d’office n’était pas nécessaire au sens où la loi l’entend (cf. art. 132 al.1 let. b CPP). Il s’ensuit que les recourants ne développent aucun moyen – factuel ou juridique – destiné à faire échec au raisonnement de la procureure. Le recours ne satisfait donc pas aux exigences de motivation imposées par l'art. 385 al. 1 CPP. Un tel défaut de motivation ne saurait justifier qu'un délai supplémentaire soit fixé aux recourants pour compléter leur acte en application de l'art. 385 al. 2 CPP (cf. supra consid. 2.2).</w:t>
      </w:r>
    </w:p>
    <w:p>
      <w:r>
        <w:rPr>
          <w:b/>
        </w:rPr>
        <w:t>E. 3</w:t>
      </w:r>
    </w:p>
    <w:p>
      <w:r>
        <w:t>En définitive, les recours doivent être déclarés irrecevables. Les frais de la procédure de recours, constitués en l’espèce du seul émolument d’arrêt, par 550 fr. (art. 20 al. 1 TFIP [Tarif des frais de procédure et indemnités en matière pénale du 28 septembre 2010 ; BLV 312.03.1]), seront mis à la charge des recourants, qui succombent (art. 428 al. 1 CPP), solidairement entre eux (art. 418 al. 2 CPP) et, à titre interne, à parts égales.</w:t>
      </w:r>
    </w:p>
    <w:p>
      <w:r>
        <w:t>- 6 - Par ces motifs, la Chambre des recours pénale prononce : I. Les procédures de recours sont jointes. II. Les recours sont irrecevables. III. Les frais d’arrêt, par 550 fr. (cinq cent cinquante francs), sont mis à la charge de C.________ et A.V.________, solidairement entre eux. IV. L’arrêt est exécutoire. Le président : La greffière : Du Le présent arrêt, dont la rédaction a été approuvée à huis clos, est notifié, par l'envoi d'une copie complète, à : - C.________, - A.V.________, - Ministère public central, et communiqué à : - Mme la Procureure de l’arrondissement de Lausanne,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