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PE21.001918 vom 3. Dezember 2024</w:t>
      </w:r>
    </w:p>
    <w:p>
      <w:r>
        <w:t>VD Tribunal cantonal, 2024-12-03, FR</w:t>
      </w:r>
    </w:p>
    <w:p>
      <w:r>
        <w:rPr>
          <w:b/>
        </w:rPr>
        <w:t xml:space="preserve">Quelle: </w:t>
      </w:r>
      <w:r>
        <w:t>https://mcp.opencaselaw.ch/entscheid/vd_gerichte_PE21.001918</w:t>
      </w:r>
    </w:p>
    <w:p>
      <w:r>
        <w:t>FR: VD_GERICHTE PE21.001918 du 3 décembre 2024</w:t>
      </w:r>
    </w:p>
    <w:p>
      <w:r>
        <w:t>IT: VD_GERICHTE PE21.001918 del 3 dicembre 2024</w:t>
      </w:r>
    </w:p>
    <w:p>
      <w:pPr>
        <w:pStyle w:val="Heading2"/>
      </w:pPr>
      <w:r>
        <w:t>Erwägungen</w:t>
      </w:r>
    </w:p>
    <w:p>
      <w:r>
        <w:rPr>
          <w:b/>
        </w:rPr>
        <w:t>E. 19</w:t>
      </w:r>
    </w:p>
    <w:p>
      <w:r>
        <w:t>décembre 1958 ; RS 741.01], dont il était prévenu, en raison des faits suivants : « Dans les circonstances susmentionnées (cas 2.4), alors que X.________, titulaire d’un permis de conduire à l’essai, avait l’interdiction de conduire avec un taux d’alcool supérieur à 0,10 pour mille (= 0,1 g/kg), il a conduit son véhicule de marque [...], immatriculé VD-[...], alors qu’il était sous l’influence de l’alcool de son domicile sis Romanel-sur-Lausanne, [...], au domicile de [...], sis à St-Barthélémy, [...], et retour, le [...] janvier 2021 (infraction prescrite – ordonnance de classement rendue en parallèle). Parvenu à son domicile (…), entre 2h30 et 3h11, X.________, qui s’attendait à un contrôle de son état physique, a bu une quantité indéterminée de whisky, dans le but d’entraver les mesures de constations de son incapacité de conduire (…). [Il] a ainsi rendu impossible de déterminer de manière sûre par une prise de sang sa concentration d'alcool dans le sang au moment critique. ». Le premier juge a considéré que s’il était vrai qu’il ressortait du témoignage de [...] que l’intimé sentait l’alcool, et des déclarations de Y.________, qu’il avait un comportement bizarre, excessif et n’était pas dans son état normal, il ressortait du rapport du CURML du 5 février 2021 que le taux d’alcoolémie de l’intimé au moment critique se trouvait entre 0,00 g/kg et 0.34 g/kg. Au demeurant, le Service des automobiles et de la navigation (ci-après : SAN) avait renoncé à toute mesure administrative relevant que les résultats de l’analyse précitée étaient négatifs. Dès lors, il convenait de considérer que l’intimé s’était alcoolisé à son retour définitif à son domicile et devait être libéré du chef d’accusation de l’art. 91a al. 1 LCR au bénéfice du doute. 4.4.2 Le Ministère public soutient que l’intimé se serait attendu à un contrôle de son état physique et qu’il aurait, à dessein, consommé de l’alcool après les faits dans le but de fausser les résultats issus d’une mesure d’investigation de l’état d’incapacité de conduire.</w:t>
      </w:r>
    </w:p>
    <w:p>
      <w:r>
        <w:t>- 30 - 4.4.3 4.4.3.1 S’agissant de l’application de l’art. 10 CPP, il y a lieu de se référer au considérant 4.1.3.1 supra. 4.4.3.2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4.4.4 En l’occurrence, si l’intimé a effectivement répondu par l’affirmative lorsque la question lui a été posée de savoir s’il s’attendait à une intervention de la police et à un contrôle de son état physique (cf. PV aud. 7, l. 361ss), il ne peut en être déduit pour autant, comme le fait à tort le Parquet, qu’il avait la volonté de s’alcooliser pour éviter que son taux d’alcool au moment des faits soit connu. En effet, l’intimé a constamment déclaré avoir consommé de l’alcool à son retour définitif à domicile (cf. P. 6/1 ; PV aud. 2, R. 8 et R. 12, jgmt, p. 3 et supra, p. 4) et il ressort de l’une de ses auditions que cette consommation était due à la tristesse qu’il ressentait ensuite de l’annonce de Y.________ de sa volonté de se séparer de lui (cf. PV aud. 7, l. 194 ss). Ainsi, à l’instar de ce qu’a retenu l’autorité de première instance, l’intimé doit être mis au bénéfice de ses explications et libéré de l’infraction d’entrave aux mesures de constatation de l’incapacité de conduite. A cela s’ajoute que le taux finalement établi au moment des faits se situait entre 0,00 g/kg et 0.34 g/kg, soit – au bénéfice du doute – une consommation nulle, et que le SAN n’a ouvert aucune procédure suite à ces faits, comme l’a relevé à juste titre le premier juge.</w:t>
      </w:r>
    </w:p>
    <w:p>
      <w:r>
        <w:t>- 31 - 4.5 En définitive, les griefs du Ministère public doivent être entièrement rejetés et le jugement entrepris confirmé. 5. 5.1. La peine doit être examinée d’office.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 1.1 ; ATF 142 IV 137 consid. 9.1). 5.2.2 Le juge suspend en règle générale l'exécution d'une peine pécuniaire ou d'une peine privative de liberté de deux ans au plus lorsqu'une peine ferme ne paraît pas nécessaire pour détourner l'auteur d'autres crimes ou délits (art. 42 al. 1 CP).</w:t>
      </w:r>
    </w:p>
    <w:p>
      <w:r>
        <w:t>- 32 -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6B_295/2025 du 2 septembre 2025 consid. 4.1). En application de l’art. 44 al. 1 CP, si le juge suspend totalement ou partiellement l’exécution d’une peine, il impartit au condamné un délai d’épreuve de deux à cinq ans. Le juge doit tenir compte des circonstances du cas d’espèce, en particulier de la personnalité et du caractère du condamné ainsi que du risque de récidive ; plus ce risque est sérieux et plus le délai d’épreuve sera long (Dupuis et al., op. cit., n. 2 ad art. 44 CP et les références citées). 5.3 En l’espèce, la Cour de céans fait sienne la motivation du premier juge. La culpabilité de l’intimé n’est pas sans importance dès lors qu’il a commis des actes inadmissibles et pénalement répréhensibles par pur esprit possessif et jaloux. A charge, on retiendra ses antécédents judiciaires. A décharge, on notera que l’intimé a collaboré à l’enquête et formulé des excuses à l’égard de Y.________, avec laquelle il a d’ailleurs conclu une convention d’indemnisation. De plus, il est inséré socialement et professionnellement. Ainsi, c’est une peine pécuniaire de 150 jours- amende, sous déduction d’un jour de détention provisoire, qu’il convient</w:t>
      </w:r>
    </w:p>
    <w:p>
      <w:r>
        <w:t>- 33 - de prononcer pour réprimer le comportement de l’intimé. Le pronostic n’étant pas défavorable, celui-ci pourra bénéficier du sursis, dont la durée sera néanmoins de quatre ans afin de s’assurer qu’il adopte désormais et durablement un comportement conforme au droit pénal. Compte tenu de sa situation financière, le montant du jour-amende sera fixé à 30 francs. 6. L’acquittement de l’intimé pour séquestration et enlèvement et actes d’ordre sexuel avec des enfants étant confirmé, le grief du Ministère public relatif à l’expulsion obligatoire du territoire suisse de l’intéressé au sens de l’art. 66a al. 1 let. g et h CP doit être rejeté et la non-expulsion judiciaire du territoire suisse de l’intimé confirmée. 7. Le Ministère public conclut à la restitution au SPOP de la pièce inventoriée sous fiche n°37101. Dans la mesure où il s’agit de la copie du dossier du SPOP, et non pas de l’original, lequel a été renvoyé à son ayant droit le 13 juin 2023 (cf. PV des opérations, p. 15), le jugement entrepris sera confirmé en ce sens que dite pièce – tout comme celle inventoriée sous fiche n° 31002 – sera maintenue au dossier à titre de pièce à conviction, au sens de l’art. 192 CPP. 8. Dans la mesure où la condamnation partielle de l’intimé est confirmée, la part des frais de première instance, arrêtée à 2'649 fr. 45 par le premier juge, ainsi que celle correspondant à l’indemnité due à son défenseur d’office, par 1'539 fr. 30, doivent être mises à la charge de l’intimé, conformément à l’art. 426 al. 1 CPP. L’intimé devra rembourser à l’Etat de Vaud la part de l’indemnité due à son défenseur d’office dès que sa situation financière le permettra (art. 135 al. 4 CPP). 9. En conclusion, l’appel du Ministère public doit être rejeté et le jugement entrepris confirmé. Me Simon Perroud a produit une liste d’opérations faisant état de 21h50 d’activité, dont il n’y a pas lieu de s’écarter. Son indemnité sera donc fixée à 3’930 fr., le tarif horaire étant de 180 fr. (art. 2 al. 1 let. a RAJ [règlement sur l'assistance judiciaire en matière civile du 7 décembre</w:t>
      </w:r>
    </w:p>
    <w:p>
      <w:r>
        <w:t>- 34 - 2010 ; BLV 211.02.3] par renvoi de l’art. 26b TFIP [tarif des frais de procédure et indemnités en matière pénale du 28 septembre 2010 ; BLV 312.03.1]). Viennent s’y ajouter des débours forfaitaires à hauteur de 2 % des honoraires admis (art. 3bis al. 1 RAJ), soit 78 fr. 60, une vacation par 120 fr. et la TVA au taux de 8,1 % sur le tout, par 334 fr. 41. L’indemnité s’élève ainsi au total à 4'463 francs. Vu l’issue de la cause, les frais d’appel, constitués des émoluments de jugement et d’audience, par 3’230 fr. (23 pages de jugement et 700 fr. d’audience ; art. 21 al. 1 et 2 TFIP), et de l’indemnité allouée au défenseur d’office, par 4'463 fr., soit au total 7’693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