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PE21.001792 vom 22. August 2022</w:t>
      </w:r>
    </w:p>
    <w:p>
      <w:r>
        <w:t>VD Tribunal cantonal, 2022-08-22, FR</w:t>
      </w:r>
    </w:p>
    <w:p>
      <w:r>
        <w:rPr>
          <w:b/>
        </w:rPr>
        <w:t xml:space="preserve">Quelle: </w:t>
      </w:r>
      <w:r>
        <w:t>https://mcp.opencaselaw.ch/entscheid/vd_gerichte_PE21.001792</w:t>
      </w:r>
    </w:p>
    <w:p>
      <w:r>
        <w:t>FR: VD_GERICHTE PE21.001792 du 22 août 2022</w:t>
      </w:r>
    </w:p>
    <w:p>
      <w:r>
        <w:t>IT: VD_GERICHTE PE21.001792 del 22 agosto 2022</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d’U.________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w:t>
      </w:r>
    </w:p>
    <w:p>
      <w:r>
        <w:t>- 9 - procédure de première instance. La juridiction d'appel administre, d'office ou à la demande d'une partie, les preuves complémentaires nécessaires au traitement de l'appel (art. 389 al. 3 CPP ; TF 6B_197/2020 du 7 mai 2020 consid. 1.1).</w:t>
      </w:r>
    </w:p>
    <w:p>
      <w:r>
        <w:rPr>
          <w:b/>
        </w:rPr>
        <w:t>E. 2.1</w:t>
      </w:r>
    </w:p>
    <w:p>
      <w:r>
        <w:t>Au mois d’octobre 2020, à [...], U.________ a vendu à X.________, pour 800 fr., une moto de marque Yamaha immatriculée GE [...] qui avait été dérobée au mois d’août 2020 à Genève au préjudice de B.________. La perquisition effectuée au garage de X.________ a permis la découverte du permis de circulation de cet engin, qui a été saisi et versé sous fiche n° 51221/21.</w:t>
      </w:r>
    </w:p>
    <w:p>
      <w:r>
        <w:rPr>
          <w:b/>
        </w:rPr>
        <w:t>E. 2.2</w:t>
      </w:r>
    </w:p>
    <w:p>
      <w:r>
        <w:t>Le 22 février 2021, à Yverdon-les-Bains, lors de la perquisition effectuée au domicile d’U.________, la police a découvert six cartouches de calibre 357 magnum à têtes creuses, un fusil airsoft de type « FAMAS 5.56 » calibre 6-BB et un fusil à pompe airsoft de type « M3 super 90 » calibre 6-BB, matériel prohibé lorsqu’il est acquis ou détenu sans droit.</w:t>
      </w:r>
    </w:p>
    <w:p>
      <w:r>
        <w:rPr>
          <w:b/>
        </w:rPr>
        <w:t>E. 2.3</w:t>
      </w:r>
    </w:p>
    <w:p>
      <w:r>
        <w:t>Entre l’année 2018 et le mois de mars 2020, date à laquelle il s’est rabattu sur le CBD, U.________ a plusieurs fois acquis du haschich pour lui-même et des amis, profitant du fait que le prix de vente était avantageux lorsque la quantité achetée était plus importante.</w:t>
      </w:r>
    </w:p>
    <w:p>
      <w:r>
        <w:t>- 7 - Entre les mois d’avril 2019, les faits antérieurs étant prescrits, et de mars 2020, U.________ a régulièrement consommé du haschich.</w:t>
      </w:r>
    </w:p>
    <w:p>
      <w:r>
        <w:rPr>
          <w:b/>
        </w:rPr>
        <w:t>E. 3.1</w:t>
      </w:r>
    </w:p>
    <w:p>
      <w:r>
        <w:t>L’appelant conteste les faits à l’origine de sa condamnation pour recel, soit d’avoir vendu au garagiste X.________ un scooter volé. Il met en cause la crédibilité de celui-ci, qui serait lui-même un receleur à grande échelle, et fait valoir qu’il l’aurait seulement mis en cause parce qu’il le connaissait un peu, pour faire croire qu’il collaborait.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w:t>
      </w:r>
    </w:p>
    <w:p>
      <w:r>
        <w:t>- 10 -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w:t>
      </w:r>
    </w:p>
    <w:p>
      <w:r>
        <w:t>- 11 - 6B_1189/2021 du 16 février 2022 consid. 3.1 ; TF 6B_802/2021 du 10 février 2022 consid. 1.1 et les références citées).</w:t>
      </w:r>
    </w:p>
    <w:p>
      <w:r>
        <w:rPr>
          <w:b/>
        </w:rPr>
        <w:t>E. 3.3</w:t>
      </w:r>
    </w:p>
    <w:p>
      <w:r>
        <w:t>Le premier juge a retenu les faits sur la base de la mise en cause précise du garagiste, relevant que celui-ci n’avait aucune raison de mentir pour incriminer l’appelant, dès lors qu’il se mettait également personnellement en cause. Il a en outre relevé que l’appelant n’avait donné aucune explication valable quant aux éventuelles raisons qui auraient incité X.________ à le dénoncer à tort, se contentant de dire qu’il ne savait pas pourquoi il agissait ainsi, et a en conséquence estimé qu’il n’y avait aucune raison de douter de la crédibilité des déclarations du garagiste. L’appréciation des preuves faite par le premier juge doit être partagée. On constate en effet, à la lecture des procès-verbaux d’audition, que X.________ est entendu sur une activité bien plus vaste que l’achat du scooter litigieux, qui est un détail qui n’apparaît qu’en toute fin de son audition. Il n’a ainsi aucune raison de mettre en cause n’importe qui pour ce cas particulier. Il a en outre donné un nom qui correspond à celui utilisé sur les réseaux sociaux par l’appelant et a pu le reconnaître sur photographie, alors qu’U.________ avait nié le connaître. C’est manifestement ce dernier qui n’est pas crédible dans ses dénégations, étant relevé qu’il n’a jamais sollicité une nouvelle audition de X.________ alors qu’il n’a pas eu l’occasion de lui être confronté. L’appelant a au demeurant admis s’adonner occasionnellement au commerce de deux roues, de sorte que l’accusation portée à son encontre a une logique. En conséquence, l’appréciation des preuves faite par le Tribunal de police doit être partagée et les faits tels que résultant de l’acte d’accusation retenus. Ce moyen doit donc être rejeté et la condamnation de l’appelant pour recel, infraction dont la qualification juridique n’est au demeurant pas contestée, confirmée.</w:t>
      </w:r>
    </w:p>
    <w:p>
      <w:r>
        <w:rPr>
          <w:b/>
        </w:rPr>
        <w:t>E. 4</w:t>
      </w:r>
    </w:p>
    <w:p>
      <w:r>
        <w:t>- 12 -</w:t>
      </w:r>
    </w:p>
    <w:p>
      <w:r>
        <w:rPr>
          <w:b/>
        </w:rPr>
        <w:t>E. 4.1</w:t>
      </w:r>
    </w:p>
    <w:p>
      <w:r>
        <w:t>L’appelant soutient que la place d’armes de Bretonnières, sur laquelle il ne conteste pas avoir circulé au guidon d’une moto de cross avec un groupe d’amis, ne serait pas une voie publique soumise à la LCR (Loi fédérale sur la circulation routière du 19 décembre 1958 ; RS 741.01), mais un terrain privé de la Confédération. A titre subsidiaire, il fait valoir qu’il pouvait penser de bonne foi qu’il s’agissait d’un terrain militaire qui n’était pas soumis à la LCR, de sorte que l’erreur de droit devrait à tout le moins être retenue. Il soutient enfin qu’il ne saurait être condamné pour conduite d’un véhicule automobile malgré le refus, le retrait ou l’interdiction de l’usage du permis, circulation sans permis de circulation ou plaques de contrôle et circulation sans assurance-responsabilité civile, dès lors qu’il faisait du cross avec une moto qui ne pouvait pas être immatriculée car non admise à la circulation, activité qui ne requiert aucun permis de conduire.</w:t>
      </w:r>
    </w:p>
    <w:p>
      <w:r>
        <w:rPr>
          <w:b/>
        </w:rPr>
        <w:t>E. 4.2</w:t>
      </w:r>
    </w:p>
    <w:p>
      <w:r>
        <w:t>Selon l’art. 1 LCR,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 les autres usagers de la route ne sont soumis à ces règles que sur les routes ouvertes entièrement ou partiellement aux véhicules automobiles ou aux cycles (al. 2). L'art. 1 al. 2 OCR (Ordonnance sur les règles de la circulation routière du 13 novembre 1962 ; RS 741.11) précise que sont publiques les routes qui ne servent pas exclusivement à l'usage privé. Selon la jurisprudence, il y a lieu de retenir une conception large de la notion de route publique. Ainsi, les places, les ponts, les passages souterrains sont à considérer comme routes au sens de la LCR (ATF 148 IV 30 consid. 1.4.2 ; ATF 86 IV 29 consid. 2 ; TF 6B_335/2021 du 29 novembre 2021 consid. 3.1). Le facteur déterminant n'est pas de savoir si la surface de la route est en propriété privée ou publique, mais si elle est utilisée pour la circulation générale et si son usage est possible pour un groupe indéterminé de personnes, même si son utilisation est limitée</w:t>
      </w:r>
    </w:p>
    <w:p>
      <w:r>
        <w:t>- 13 - par la nature de la route ou par le mode ou le but de son utilisation (ATF 148 IV 30 précité ; ATF 104 IV 105 consid. 3 ; TF 6B_335/2021 précité). Ainsi, le caractère public ne dépend pas de la volonté du propriétaire, mais de l'usage qui en est fait ; peu importe que la route ait un but particulier ou soit réservée à une certaine catégorie d'usagers (ATF 148 IV 30 précité). La notion de route publique s'applique ainsi à des parcelles de bien-fonds appartenant aussi bien à des personnes physiques ou morales qu'à des corporations publiques – notamment les communes – et à des établissements de droit public (Bussy/Rusconi et al., Code suisse de la circulation routière, 4e éd., Bâle 2015, n. 2.5 ad art. 1 LCR). Pour déterminer si une voie doit être qualifiée de publique au sens de la LCR – et par conséquent si cette loi y trouve application –, il convient donc de tenir compte de son utilisation effective. La voie est publique dès qu’elle peut être parcourue par un cercle indéterminé de personnes, cela même si son utilisation est réservée à certains buts déterminés – par exemple l’accès à une école ou à une église – puisque, même dans un tel cas, le cercle d’usagers reste indéterminé (ATF 86 IV 29 précité). Doit ainsi être qualifié de voie publique le parking d’un immeuble comprenant des places pour visiteurs, dès lors que celui-ci est accessible à un nombre indéterminé de personnes (TF 6B_507/2012 du 1er novembre 2012 consid. 2.1 ; TF 6S.286/2003 du 26 septembre 2003 consid. 3.2), de même qu’une route qui, par sa situation, ne serait fréquentée que par des chasseurs, des promeneurs, des employés communaux ou des propriétaires privés, ceux-ci constituant également un cercle indéterminé de personnes (TF 6B_847/2011 du 21 août 2012 consid. 2.5). En revanche, une voie interdite à la circulation et dont l’utilisation est subordonnée à l’obtention d’une autorisation écrite ne saurait être qualifiée de publique, dès lors qu’elle n’est accessible qu’à un cercle déterminé de personnes (TF 6S.411/2005 du 21 mars 2006 consid. 2). La raison de cette définition large de la route, qui englobe également les routes ouvertes à la circulation générale et ne se recoupe donc pas entièrement avec la notion de route publique à usage commun selon la terminologie du droit public, réside dans l'objectif (de droit</w:t>
      </w:r>
    </w:p>
    <w:p>
      <w:r>
        <w:t>- 14 - policier) de la législation sur la circulation routière, qui vise à protéger l'ordre et la sécurité publics dans la circulation routière et appelle, pour des raisons de prévention des dangers, à une application globale des normes d'interdiction et d'obligation (règles de circulation) y afférentes (ATF 148 IV 30 précité ; TF 6B_54/2010 du 18 mars 2010 consid. 1.2 ; TF 6B_673/2008 du 8 octobre 2008 consid. 1.1). Une telle qualification est possible même s’agissant d’un espace destiné et réservé aux piétons (Bussy/Rusconi et al., op. cit., n. 1 ad art. 1 OCR). Le critère de l’utilisation effective de la route et du cercle d’usagers pouvant y circuler a donc été développé par la jurisprudence afin d’étendre la notion de « route publique », indépendamment du caractère public ou privé de l’espace concerné. Il n’a jamais visé à exclure l’application de la LCR sur des routes publiques interdites aux véhicules automobiles et ne saurait être invoqué pour parvenir à un résultat qui serait l’exact contraire du but visé. Seul l’art. 1 al. 2 OCR est à cet égard déterminant. Cette disposition énonce clairement que sont publiques toutes les routes, sauf celles servant exclusivement à l’usage privé. Cette norme doit conduire à considérer qu’une place publique, librement accessible aux piétons et dont l’usage n’est nullement privé, constitue une route publique au sens de la LCR, quand bien même seul un cercle déterminé d’usagers automobiles pourrait l’emprunter (TF 6B_335/2021 précité). Ainsi, par exemple, si une entreprise veut restreindre à un usage exclusivement privé, la nuit ou les jours fériés, un espace ouvert aux transports publics pendant les heures de travail, cette volonté doit être rendue reconnaissable pour les tiers par une interdiction signalée ou par une barrière (art. 5 al. 1 LCR). En l'absence de telles mesures claires, le caractère public est maintenu (ATF 148 IV 30 précité ; ATF 104 IV 105 précité ; TF 6B_673/2008 précité et les références citées).</w:t>
      </w:r>
    </w:p>
    <w:p>
      <w:r>
        <w:rPr>
          <w:b/>
        </w:rPr>
        <w:t>E. 4.3</w:t>
      </w:r>
    </w:p>
    <w:p>
      <w:r>
        <w:t>Le premier juge a estimé qu’une place de tir était un espace public. Il a retenu que ce lieu était accessible à tout un chacun et n’était pas réservé exclusivement à l’usage privé, de sorte que les usagers de cet espace étaient soumis à la LCR.</w:t>
      </w:r>
    </w:p>
    <w:p>
      <w:r>
        <w:t>- 15 - Il ressort toutefois du dossier, et notamment des photographies qui y figurent, que l’accès à la place d’armes de Bretonnières est fermé par une barrière, sur laquelle un panneau mentionne : « propriété privée ». Le fait que l’on puisse y pénétrer en ouvrant ladite barrière n’en fait pas pour autant un espace ouvert à chacun. Le syndic de la commune a d’ailleurs déposé plainte pour violation de domicile, ce qui démontre qu’il s’agit d’un espace où tout un chacun n’est pas censé pénétrer sans autorisation. Compte tenu de la jurisprudence susmentionnée, un tel espace, qui sert exclusivement à l’usage privé, où l’on ne peut pas pénétrer sans autorisation et dont l’interdiction d’accès est clairement signalée, ne saurait être considéré comme un espace public. Il ne saurait donc être fait grief à l’appelant d’y avoir violé la LCR, qui ne s’applique pas. Par ailleurs, s’il a certes affirmé n’avoir « pas roulé sur la voie publique sans permis, hormis à Bretonnières », on ne saurait en déduire que l’appelant aurait circulé avec sa moto de cross sur la voie publique pour se rendre sur la place d’armes, ce d’autant moins qu’il a ensuite déclaré avoir été amené sur les lieux par une camionnette (cf. jugement, p. 3). Le rapport de police ne mentionne du reste pas que l’appelant et ses comparses auraient circulé ailleurs que sur la place d’armes, une photographie des « installations dans lesquelles ils ont évolué avec leurs engins » montrant au contraire uniquement la place de tir, lieu où ils ont d’ailleurs été interpellés. Compte tenu de ce qui précède, le moyen doit être admis et l’appelant doit être libéré des chefs de prévention de conduite d’un véhicule automobile malgré le refus, le retrait ou l’interdiction de l’usage du permis, de circulation sans permis de circulation ou plaques de contrôle et de circulation sans assurance-responsabilité civile.</w:t>
      </w:r>
    </w:p>
    <w:p>
      <w:r>
        <w:rPr>
          <w:b/>
        </w:rPr>
        <w:t>E. 4.4</w:t>
      </w:r>
    </w:p>
    <w:p>
      <w:r>
        <w:t>; TF 6B_139/2020 du 1er mai 2020 consid. 3.1 ; TF 6B_1400/2017 du 26 mars 2018 consid. 2.2). Lors de l'appréciation des perspectives d'amendement, le juge doit prendre en considération l'effet dissuasif que la nouvelle peine peut exercer, si elle est exécutée (ATF 134 IV 140 précité consid. 4.4 et 4.5 ; TF 6B_93/2021 précité ; TF 6B_454/2021 précité).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6B_139/2020 précité).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que l'intéressé puisse au besoin la contester utilement (TF 6B_454/2021</w:t>
      </w:r>
    </w:p>
    <w:p>
      <w:r>
        <w:t>- 20 - précité ; TF 6B_291/2020 du 15 mai 2020 consid. 2.3 ; TF 6B_143/2019 du</w:t>
      </w:r>
    </w:p>
    <w:p>
      <w:r>
        <w:rPr>
          <w:b/>
        </w:rPr>
        <w:t>E. 5.1</w:t>
      </w:r>
    </w:p>
    <w:p>
      <w:r>
        <w:t>L’appelant conteste la peine prononcée à son encontre, qu’il estime excessivement sévère, tant dans son genre que dans sa quotité. Il conclut, en cas d’admission de son appel, au prononcé d’une peine pécuniaire n’excédant pas 120 jours-amende et, subsidiairement, en cas de confirmation de sa condamnation pour recel et infractions à la LCR, au</w:t>
      </w:r>
    </w:p>
    <w:p>
      <w:r>
        <w:t>- 16 - prononcé d’une peine pécuniaire de 270 jours-amende. Il fait valoir que sa dernière condamnation remonterait à 2017 pour des faits commis bien plus tôt, alors qu’il était à la limite du régime des sanctions applicables aux jeunes adultes, et qu’aucune de ses précédentes condamnations ne revêtirait un caractère de gravité hors norme, traduisant plus une probable faiblesse d’esprit qu’un endurcissement criminel. Il soutient en outre qu’il travaillerait selon un horaire d’équipe de régime « 3/8 » qui serait incompatible avec l’exécution d’une peine privative de liberté sous le régime de la semi-détention.</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t>- 17 -</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t>- 18 -</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La commission d'un crime ou d'un délit durant le délai d'épreuve n'entraîne pas nécessairement une révocation du sursis. Celle-ci</w:t>
      </w:r>
    </w:p>
    <w:p>
      <w:r>
        <w:t>- 19 - ne se justifie qu'en cas de pronostic défavorable, à savoir lorsque la nouvelle infraction laisse entrevoir une réduction sensible des perspectives de succès de la mise à l'épreuve (ATF 134 IV 140 consid. 4.2 et 4.3 ; TF 6B_93/2021 du 6 octobre 2021 consid. 3.1 ; TF 6B_454/2021 du 4 octobre 2021 consid. 4.1). Par analogie avec l'art. 42 al. 1 et 2 CP, le juge se fonde sur une appréciation globale des circonstances du cas d'espèce pour estimer le risque de récidive (ATF 134 IV 140 précité consid.</w:t>
      </w:r>
    </w:p>
    <w:p>
      <w:r>
        <w:rPr>
          <w:b/>
        </w:rPr>
        <w:t>E. 5.3</w:t>
      </w:r>
    </w:p>
    <w:p>
      <w:r>
        <w:t>Après avoir analysé les éléments à charge et à décharge, le premier juge a estimé qu’une peine privative de liberté de six mois, compatible avec le régime de la semi-détention, devait être prononcée pour sanctionner le recel, ainsi que les différentes infractions à la LCR, à la LArm et à la LStup, et qu’une amende de 300 fr. devait réprimer les contraventions commises. Il a exclu l’octroi du sursis, jugeant le pronostic clairement défavorable, et a révoqué le sursis prononcé le 28 septembre 2017 par le Juge de Police de la Sarine, estimant qu’il n’était pas possible de soutenir que l’appelant ne récidiverait pas compte tenu de la réitération spéciale en matière d’infractions à la LCR et à la LArm. L’appelant étant libéré des infractions à la LCR qui lui étaient reprochées, il est finalement reconnu coupable de recel, d’infraction à la LArm, d’infraction à la LStup et de contravention à la LStup. Sa culpabilité ne doit toutefois pas être minimisée. Il a en effet à nouveau commis des infractions à la LArm et a continué à consommer des stupéfiants, alors qu’il avait déjà été condamné pour ce type d’infractions. Il s’est en outre rendu coupable de recel et de délit contre la LStup, ce qui dénote un accroissement de l’intensité délictuelle par rapport à ses antécédents et démontre qu’il peine toujours à respecter les règles de droit. A charge, il y a lieu de tenir compte de ses antécédents et du fait qu’il ne montre aucune prise de conscience. A l’instar du premier juge, on ne voit pas de circonstance à décharge. Les peines pécuniaires auxquelles l’appelant a déjà été condamné, d’abord avec, puis sans sursis, n’ont manifestement pas eu d’effet dissuasif, celui-ci ayant réitéré les infractions en matière de LArm et commis de nouvelles infractions, le recel représentant une escalade dans la délinquance. Sous réserve de la contravention commise, qui n’est passible que d’une amende, une peine privative de liberté s’impose pour sanctionner les infractions commises pour des motifs de prévention spéciale, de sorte qu’il y a concours au sens de l’art. 49 al. 1 CP.</w:t>
      </w:r>
    </w:p>
    <w:p>
      <w:r>
        <w:t>- 21 - L’infraction la plus grave est le recel, qui justifie le prononcé d’une peine privative de liberté de deux mois. Les effets du concours conduisent à l’augmentation de cette peine de base d’un mois pour sanctionner l’infraction à la LArm et d’un mois supplémentaire pour réprimer l’infraction à la LStup, de sorte qu’une peine privative de liberté de quatre mois paraît adéquate. Les antécédents de l’appelant et son absence de prise de conscience excluent l’octroi du sursis, ce qu’il ne conteste au demeurant pas. Il y a lieu de relever que la peine pourra être exécutée sous forme d’arrêts domiciliaires, si ce n’est de semi-détention, de sorte qu’elle ne mettra pas en danger l’insertion professionnelle de l’intéressé. L’appelant étant libéré de la contravention de circulation sans permis de circulation ou plaques de contrôle, le montant de l’amende sera abaissé à 100 fr. pour sanctionner la seule contravention à la LStup commise. La peine privative de liberté de substitution en cas de non- paiement fautif sera d’un jour. Enfin, s’il demeure une récidive à la LArm, il n’y a plus de récidive en matière de LCR, l’appelant ayant été libéré de tous les chefs de prévention en la matière, de sorte qu’il peut être renoncé à révoquer le sursis prononcé le 28 septembre 2017 par le Juge de Police de la Sarine, l’exécution de la peine privative de liberté ferme de quatre mois constituant un avertissement suffisant pour le détourner de la récidive par la suite.</w:t>
      </w:r>
    </w:p>
    <w:p>
      <w:r>
        <w:rPr>
          <w:b/>
        </w:rPr>
        <w:t>E. 6</w:t>
      </w:r>
    </w:p>
    <w:p>
      <w:r>
        <w:t>Dans son mémoire d’appel, l’appelant ne conclut pas à la réforme du jugement de première instance en matière de frais et indemnités, de sorte que ces points ne seront pas examinés.</w:t>
      </w:r>
    </w:p>
    <w:p>
      <w:r>
        <w:rPr>
          <w:b/>
        </w:rPr>
        <w:t>E. 7</w:t>
      </w:r>
    </w:p>
    <w:p>
      <w:r>
        <w:t>En conclusion, l’appel d’U.________ doit être partiellement admis et le jugement entrepris réformé dans le sens des considérants qui précèdent. Vu l’issue de la cause, les frais de la procédure d’appel, constitués du seul émolument de jugement (art. 21 al. 1 TFIP [Tarif des</w:t>
      </w:r>
    </w:p>
    <w:p>
      <w:r>
        <w:t>- 22 - frais de procédure et indemnités en matière pénale du 28 septembre 2010 ; BLV 312.03.1]), par 2’200 fr., seront mis par moitié, soit par 1’100 fr., à la charge d’U.________, le solde étant laissé à la charge de l’Etat. U.________, qui a procédé avec l’assistance d’un avocat de choix et qui a obtenu partiellement gain de cause, a droit, de la part de l’Etat, à une indemnité réduite pour les dépenses occasionnées par l’exercice raisonnable de ses droits dans le cadre de la procédure d’appel. Par courrier du 30 janvier 2023, il a produit une liste d’opérations faisant état de 20 h 20 d’activité d’avocat au tarif horaire de 250 fr. pour les opérations effectuées entre le 20 décembre 2021 et le 20 novembre 2022. Il y a lieu de réduire la durée consacrée au mandat, dans la mesure où l’indemnisation doit être circonscrite aux opérations effectuées dans le cadre de la procédure d’appel, soit dès le 29 août 2022, et où l’opération du 10 octobre 2022 doit être retranchée, son libellé (« pofekvrjrv ») étant incompréhensible. Les débours seront indemnisés sur une base forfaitaire, à concurrence de 2 % du montant des honoraires admis (art. 19 al. 2 TDC [Tarif des dépens en matière civile du 23 novembre 2010 ; BLV 270.11.6], applicable par renvoi de l'art. 26a al. 6 TFIP). C’est ainsi une indemnité de 2’197 fr. 10, correspondant à 8 heures d’activité d’avocat au tarif horaire de 250 fr., à des débours à hauteur de 40 fr. et à la TVA au taux de 7,7 %, par 157 fr. 10, réduite de moitié – pour tenir compte du parallélisme entre le sort des frais et des indemnités –, soit de 1’098 fr. 55 au total, qu’il convient d’allouer à U.________ au titre de l’art. 429 al. 1 let. a CPP pour la procédure d’appel, à la charge de l’Etat de Vaud. Conformément à l’art. 442 al. 4 CPP, qui autorise les autorités pénales à compenser les créances portant sur des frais de procédure avec les indemnités accordées à la partie débitrice dans la même procédure pénale et avec des valeurs séquestrées, l’indemnité de 1’098 fr. 55 allouée à U.________ pour les dépenses occasionnées par l’exercice raisonnable de ses droits en procédure d’appel sera compensée avec la part des frais de justice de deuxième instance mise à sa charge, le solde dû à ce titre par l’appelant s’élevant à 1 fr. 45.</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