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PE21.001420 vom 10. Februar 2023</w:t>
      </w:r>
    </w:p>
    <w:p>
      <w:r>
        <w:t>VD Tribunal cantonal, 2023-02-10, FR</w:t>
      </w:r>
    </w:p>
    <w:p>
      <w:r>
        <w:rPr>
          <w:b/>
        </w:rPr>
        <w:t xml:space="preserve">Quelle: </w:t>
      </w:r>
      <w:r>
        <w:t>https://mcp.opencaselaw.ch/entscheid/vd_gerichte_PE21.001420</w:t>
      </w:r>
    </w:p>
    <w:p>
      <w:r>
        <w:t>FR: VD_GERICHTE PE21.001420 du 10 février 2023</w:t>
      </w:r>
    </w:p>
    <w:p>
      <w:r>
        <w:t>IT: VD_GERICHTE PE21.001420 del 10 febbraio 2023</w:t>
      </w:r>
    </w:p>
    <w:p>
      <w:pPr>
        <w:pStyle w:val="Heading2"/>
      </w:pPr>
      <w:r>
        <w:t>Erwägungen</w:t>
      </w:r>
    </w:p>
    <w:p>
      <w:r>
        <w:rPr>
          <w:b/>
        </w:rPr>
        <w:t>E. 4</w:t>
      </w:r>
    </w:p>
    <w:p>
      <w:r>
        <w:t>août 2020 consid. 3.1 ; TF 6B_727/2019 du 27 septembre 2019 consid. 2.2 ;</w:t>
      </w:r>
    </w:p>
    <w:p>
      <w:r>
        <w:t>- 13 - TF 6B_987/2017 du 12 février 2018 consid. 1.1 ; TF 6B_352/2014 du 22 mai 2015 consid. 5.1 non publié in ATF 141 IV 273).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6B_204 et 206/2019 du 15 mai 2019 consid. 2.1 ; TF 6B_1070/2017 du 20 avril 2018 consid. 2.1 ; TF 6B_506/2016 du 22 juin 2017 consid. 1.4.1). Le juge ne doit recourir à une expertise de crédibilité qu'en présence de circonstances particulières (ATF 128 I 81 consid. 2 et réf. cit. ; TF 6B_1153/2018 du 14 décembre 2018 consid. 2.7 ; 6B_1070/2017 précité consid. 2.1).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 ATF 128 I 81 consid. 2 ; ATF 118 Ia consid. 1c ; TF 6B_204 et 206/2019 précité). 2.3 La recourante soulève plusieurs éléments. D’abord, elle relève l’attitude particulière du prévenu tout au long de l’enquête, qui a changé trois fois d’avocat et demandé en vain la récusation de la procureure, se serait montré virulent lors des audiences, a fait l’objet d’une interdiction civile d’approcher la mère et les enfants et enfin, fait l’objet d’une ordonnance pénale du 27 juillet 2022 pour dommages à la propriété, injure, menaces et insoumission à une décision de l’autorité, en lien avec l’instruction tant de la présente affaire que de la procédure civile. Sur ce dernier point, on relèvera que cet aspect a été</w:t>
      </w:r>
    </w:p>
    <w:p>
      <w:r>
        <w:t>- 14 - instruit sous un numéro d’enquête différente (PE21.021367-LRC), que le prévenu a fait opposition à cette ordonnance pénale, que le tribunal de police a confirmé la condamnation pour les infractions en question et qu’un appel est pendant. Pour le surplus, quand bien même le prévenu aurait un caractère difficile et une attitude critiquable sur le plan relationnel, cet aspect ne peut pas jouer un rôle déterminant dans l’appréciation au fond des éléments constitutifs des infractions ayant fait l’objet de l’instruction, d’autant plus que la condamnation du 27 juillet 2022 n’est toujours pas définitive. Ensuite, la recourante fait valoir que l’éducatrice de l’enfant, [...], aurait constaté une tristesse, une colère et une peur à l’égard du père. Dans le cadre d’un conflit parental aussi aigu, cet élément est insuffisant pour fonder des indices de culpabilité. La recourante relève que la pédiatre de l’enfant aurait témoigné lors d’une audience durant laquelle le prévenu aurait fait preuve d’une attitude véhémente et qu’en plus, la pédiatre parlait mal le français, ce qui aurait rendu la déposition chaotique. La recourante explique que la nouvelle procureure ne pouvait connaître de ces éléments, puisque c’était la précédente procureure qui avait tenu l’audience. Quand bien même l’impression donnée peut échapper au lecteur, il n’en reste pas moins qu’il résulte du procès-verbal d’audition de [...] (PV aud. 4) que celle-ci semble s’être exprimée, en français et sans réserve, de manière claire et ferme ; les déclarations protocolées sont à tout le moins limpides. De même, le rapport du CURML ne fait état d’aucune lésion physique (P. 37). Il faut donc constater que la thèse des abus sexuels n’est pas étayée par des avis de médecins ou des examens médicaux. La recourante affirme qu’une expertise de l’enfant devrait être mise en œuvre, puisqu’elle est trop jeune pour être entendue. Le Ministère public a refusé cette mesure d’instruction, au motif qu’elle serait disproportionnée et relèverait de l’affaire civile. Or, le refus de mettre en œuvre une telle expertise de crédibilité se justifie surtout par le fait que l’enfant a déjà subi une multitude d’investigations et de demandes, de</w:t>
      </w:r>
    </w:p>
    <w:p>
      <w:r>
        <w:t>- 15 - telle sorte que, en l’absence d’éléments à charge, une telle expertise serait lourde à vivre pour l’enfant et certainement vaine. Enfin, la recourante relève qu’il aurait dû être procédé à l’audition d’une assistante sociale de la DGEJ (Direction générale de l’enfance et de la jeunesse) et d’un inspecteur de la police qui aurait reçu une dénonciation sur les débordements du prévenu. Si l’on a bien compris le but de ces dépositions, il s’agit d’établir que le prévenu serait un personnage menaçant et inquiétant. Comme l’a relevé la procureure, ces éléments touchent à la personnalité du prévenu et n’apporteraient aucun élément supplémentaire quant aux indices d’abus sexuels. De toute manière, sur cet aspect, il semble que ces auditions auraient plutôt un intérêt dans le cadre de la procédure instruite séparément contre le prévenu, qui est actuellement pendante en appel. En conclusion, bien que les accusations d’abus soient évidemment inquiétantes et quand bien même les infractions reprochées sont graves, il n’y a pas matière à justifier des investigations supplémentaires, d’autant plus qu’elles pèseraient certainement sur l’enfant, alors que celle-ci a déjà dû subir des examens invasifs. Comme l’a retenu le Ministère public, les probabilités d’un acquittement du prévenu sont supérieures à celles d’une condamnation, de sorte qu’il ne se justifie pas de poursuivre la procédure pénale. Comme on l’a vu, l’instruction ne corrobore aucun soupçon justifiant une mise en accusation et on ne voit pas quelles autres mesures d’instruction pertinentes seraient susceptibles d’établir l’existence de soupçons suffisants justifiant une mise en accusation. Il s’ensuit que le prononcé d’une ordonnance de classement était bien fondé. 3. Il résulte de ce qui précède que le recours de Q.________ doit être déclaré irrecevable, tandis que celui déposé pour X.________ doit être rejeté. L’ordonnance du 21 octobre 2022 sera donc confirmée. Les frais d’arrêt, par 1’650 fr. (15 pages ; cf. art. 20 al. 1 TFIP), seront mis par un dixième à la charge de Q.________, considéré avoir</w:t>
      </w:r>
    </w:p>
    <w:p>
      <w:r>
        <w:t>- 16 - succombé (cf. art. 428 al. 1 in fine CPP), soit par 165 francs. Le solde, par 1'485 fr., soit les frais d’arrêt afférents au recours d’X.________, par neuf dixièmes, ainsi que l’indemnité due à son conseil juridique gratuit, fixée à 692 fr. – qui comprend des honoraires par 630 fr. (3,5 heures, cf. P. 90), des débours forfaitaires de 2 %, par 12 fr. 60 (cf. art. 26b TFIP qui renvoie à l'art. 3bis RAJ [règlement sur l’assistance judiciaire en matière civile du 7 décembre 2010 ; BLV 211.02.3]), et la TVA sur le tout, au taux de 7,7%, par 49 fr. 50, le tout en chiffres arrondis –, sont laissés à la charge de l’Etat, la recourante, qui succombe, pouvant se prévaloir du statut de victime LAVI (cf. art. 30 LAVI [Loi fédérale du 23 mars 2007 sur l’aide aux victimes d’infractions ; RS 312.5] ; ATF 141 IV 154 consid. 2.3.4). Par ces motifs, la Chambre des recours pénale prononce : I. Le recours d’X.________ est rejeté. II. Le recours de Q.________ est irrecevable. III. L’ordonnance du 21 octobre 2022 est confirmée. IV. L’indemnité allouée à Me Julie André, conseil juridique gratuit d’X.________, est fixée à 692 fr. (six cent nonante-deux francs). V. Les frais d’arrêt, par 1’650 fr. (mille six cent cinquante francs), sont mis à la charge du recourant Q.________ à raison d’un dixième, soit par 165 fr. (cent soixante-cinq francs), le solde, par neuf dixièmes, soit par 1'485 fr. (mille quatre cent huitante-cinq francs), ainsi que l’indemnité due au conseil juridique gratuit d’X.________, par 692 fr. (six cent nonante- deux francs), étant laissé à la charge de l'Etat.</w:t>
      </w:r>
    </w:p>
    <w:p>
      <w:r>
        <w:t>- 17 - VI. L’arrêt est exécutoire. La présidente : La greffière : Du Le présent arrêt, dont la rédaction a été approuvée à huis clos, est notifié, par l'envoi d'une copie complète, à : - Q.________, - Me Julie André, avocate (pour X.________), - Ministère public central, et communiqué à : - Mme la Procureure de l’arrondissement de l’Est vaudois, - Direction générale de l’enfance et de la jeunesse, par l’envoi de photocopies. Le présent arrêt peut faire l'objet d'un recours en matière pénale devant le Tribunal fédéral au sens des art. 78 ss LTF (loi sur le Tribunal fédéral du 17 juin 2005 ; RS 173.110). Ce recours doit être</w:t>
      </w:r>
    </w:p>
    <w:p>
      <w:r>
        <w:t>- 18 -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