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PE21.001176 vom 22. Juni 2021</w:t>
      </w:r>
    </w:p>
    <w:p>
      <w:r>
        <w:t>VD Tribunal cantonal, 2021-06-22, FR</w:t>
      </w:r>
    </w:p>
    <w:p>
      <w:r>
        <w:rPr>
          <w:b/>
        </w:rPr>
        <w:t xml:space="preserve">Quelle: </w:t>
      </w:r>
      <w:r>
        <w:t>https://mcp.opencaselaw.ch/entscheid/vd_gerichte_PE21.001176</w:t>
      </w:r>
    </w:p>
    <w:p>
      <w:r>
        <w:t>FR: VD_GERICHTE PE21.001176 du 22 juin 2021</w:t>
      </w:r>
    </w:p>
    <w:p>
      <w:r>
        <w:t>IT: VD_GERICHTE PE21.001176 del 22 giugno 2021</w:t>
      </w:r>
    </w:p>
    <w:p>
      <w:pPr>
        <w:pStyle w:val="Heading2"/>
      </w:pPr>
      <w:r>
        <w:t>Erwägungen</w:t>
      </w:r>
    </w:p>
    <w:p>
      <w:r>
        <w:rPr>
          <w:b/>
        </w:rPr>
        <w:t>E. 1</w:t>
      </w:r>
    </w:p>
    <w:p>
      <w:r>
        <w:t>Les parties peuvent attaquer une ordonnance de non- 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R.________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TF 6B_510/2020 du 15 septembre 2020 consid. 3.2) et signifie qu'en principe un classement ou une non-entrée en matière ne peuvent être prononcés par le Ministère public que lorsqu'il apparaît clairement que les faits ne sont pas</w:t>
      </w:r>
    </w:p>
    <w:p>
      <w:r>
        <w:t>- 5 -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valoir une violation de l’art. 126 al. 2 let. b CP (Code pénal suisse du 21 décembre 1937 ; RS 311.0). Il soutient qu’il aurait subi des voies de fait à réitérées reprises de la part de son épouse Y.________ durant plusieurs années.</w:t>
      </w:r>
    </w:p>
    <w:p>
      <w:r>
        <w:rPr>
          <w:b/>
        </w:rPr>
        <w:t>E. 3.2.1</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Aux termes de l'art. 126 al. 2 CP, la poursuite aura lieu d’office si l’auteur a agi à réitérées reprises contre son conjoint durant le mariage ou dans l’année qui a suivi le divorce (let. b).</w:t>
      </w:r>
    </w:p>
    <w:p>
      <w:r>
        <w:t>- 6 - Agir à réitérées reprises au sens de l'art. 126 al. 2 CP signifie agir plusieurs fois sur la même victime d'une manière qui dénote une habitude (ATF 134 IV 191 consid. 1). La jurisprudence a admis que cette condition était réalisée dans un cas où l'auteur a frappé des enfants (cf. art. 126 al. 2 let. a CP), sous le prétexte de les éduquer, une dizaine de fois en l'espèce de trois ans (ATF 129 IV 222 s. consid. 3.2); deux fois ne suffiraient pas (cf. Corboz, Les infractions en droit suisse, 3e éd., vol. I, Berne 2010, n. 22 ad 126 CP, p.158, et les réf. cit.).</w:t>
      </w:r>
    </w:p>
    <w:p>
      <w:r>
        <w:rPr>
          <w:b/>
        </w:rPr>
        <w:t>E. 3.2.2</w:t>
      </w:r>
    </w:p>
    <w:p>
      <w:r>
        <w:t>Selon l'art. 31 CP, le droit de porter plainte se prescrit par trois mois dès le jour où l'ayant droit a connu l'auteur de l'infraction (sur le calcul du délai : cf. ATF 144 IV 161 consid. 2). Le délai institué par cette disposition étant un délai de péremption, il ne peut être ni interrompu, ni prolongé (ATF 118 IV 325 consid. 2b). La tardiveté d’une plainte, à l’instar du retrait de la plainte (Moreillon/Parein-Reymond, Petit Commentaire du Code de procédure pénale, 2e éd., Bâle 2016, n. 13 ad art. 310 CPP), doit être assimilée à un empêchement de procéder au sens de l’art. 310 al. 1 let. b CPP (CREP 17 septembre 2020/701 ; CREP 1er juillet 2020/515 ; CREP 19 décembre 2019/1025).</w:t>
      </w:r>
    </w:p>
    <w:p>
      <w:r>
        <w:rPr>
          <w:b/>
        </w:rPr>
        <w:t>E. 3.3</w:t>
      </w:r>
    </w:p>
    <w:p>
      <w:r>
        <w:t>En l’occurrence, pour que l’on considère que les voies de fait aient eu lieu à réitérées reprises, deux cas distincts ne suffisent pas. Il faut au contraire que l’auteur s’en prenne physiquement à une même victime en plusieurs occasions différentes, de façon à dénoter une certaine habitude. Or, les termes très vagues de la plainte pénale déposée par R.________ ne permettent pas de déterminer si cette condition est remplie. Il lui incombait d’être plus précis. La demande d’instruction formulée dans son recours s’apparente à une recherche indéterminée de preuve et la Chambre de céans ne saurait y donner suite. Il faut ainsi bien admettre avec le Ministère public, que les éventuelles voies de fait du cas d’espèce ne se poursuivent que sur plainte (art. 126 al. 1). En conséquence, la plainte déposée le 14 janvier 2021, alors que les époux vivaient séparés depuis le mois d’octobre 2020, est tardive. Le recourant ne prétend d’ailleurs pas le contraire. Par ailleurs,</w:t>
      </w:r>
    </w:p>
    <w:p>
      <w:r>
        <w:t>- 7 - si le comportement décrit par le plaignant avait eu lieu après la séparation des époux, soit dans une période récente, R.________ aurait probablement été plus précis. L’ordonnance de non-entrée en matière doit ainsi être confirmée sur ce point.</w:t>
      </w:r>
    </w:p>
    <w:p>
      <w:r>
        <w:rPr>
          <w:b/>
        </w:rPr>
        <w:t>E. 4.1</w:t>
      </w:r>
    </w:p>
    <w:p>
      <w:r>
        <w:t>Le recourant fait encore valoir une violation de l’art. 181 CP. Il décrit les nombreux moyens qu’aurait utilisés Y.________ pour l’entraver dans sa liberté d’action durant près de 23 ans et soutient qu’ils sont constitutifs d’une contrainte commise par « stalking ».</w:t>
      </w:r>
    </w:p>
    <w:p>
      <w:r>
        <w:rPr>
          <w:b/>
        </w:rPr>
        <w:t>E. 4.2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w:t>
      </w:r>
    </w:p>
    <w:p>
      <w:r>
        <w:t>- 8 - par leur intensité et leur effet, sont analogues à ceux qui sont cités expressément par la loi (ATF 141 IV 437 consid. 3.2.1 ; 137 IV 326 consid. 3.3.1; TF 6B_306/2017 du 2 novembre 2017 consid. 3.1).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 stalking », c’est-à-dire par persécution obsessionnelle d’une personne (ATF 129 IV 262 consid. 2.3 à 2.5, JdT 2005 IV 207 ; Dupuis &amp; alii, Petit Commentaire du Code pénal, 2e éd., Bâle 2017,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w:t>
      </w:r>
    </w:p>
    <w:p>
      <w:r>
        <w:rPr>
          <w:b/>
        </w:rPr>
        <w:t>E. 4.3</w:t>
      </w:r>
    </w:p>
    <w:p>
      <w:r>
        <w:t>En l’occurrence, le plaignant est âgé de 78 ans. Il se plaint des agissements de Y.________, laquelle l’aurait maltraité durant plusieurs années, notamment en l’empêchant d’accéder aux toilettes de son propre domicile, le contraignant ainsi à faire ses besoins personnels dans un seau, en l’empêchant d’avoir les contacts qu’il souhaitait avec sa proche famille dont ses deux fils, en l’empêchant de disposer de l’argent du ménage que lui donnait son curateur, lui laissant juste 10 fr. pour les frais d’essence, en l’entravant dans sa liberté d’action en lui donnant la seule possibilité de changer ses sous-vêtements qu’une fois par semaine et en l’entravant dans sa liberté d’action en ne lui donnant pas la possibilité de manger à sa faim. A ce stade, et contrairement à ce que soutient le Ministère public, il n’est pas possible d’exclure que Y.________ ait adopté un</w:t>
      </w:r>
    </w:p>
    <w:p>
      <w:r>
        <w:t>- 9 - comportement constitutif de contrainte. En effet, si les éléments décrits par le recourant devaient se confirmer, ils pourraient constituer une persécution obsessionnelle, tant les maltraitances énumérées sont répétitives et graves. Ces maltraitances semblent en outre être confirmées par le fils du recourant (cf. P. 8). Il convient donc d’ouvrir une instruction pénale en vue de procéder à tout le moins à l’audition de [...] et du curateur de R.________, ainsi que d’autres proches de la famille.</w:t>
      </w:r>
    </w:p>
    <w:p>
      <w:r>
        <w:rPr>
          <w:b/>
        </w:rPr>
        <w:t>E. 5</w:t>
      </w:r>
    </w:p>
    <w:p>
      <w:r>
        <w:t>En définitive, le recours doit être admis et l’ordonnance de non-entrée en matière attaquée annulée. Le dossier de la cause sera renvoyé au Ministère public de l’arrondissement de l’Est vaudois pour qu’il procède dans le sens des considérants (art. 397 al. 2 CPP). Les frais de la procédure de recours, par 990 fr. (art. 20 al. 1 TFIP [tarif des frais de procédure et indemnités en matière pénale du 28 septembre 2010; BLV 312.03.1]), seront laissés à la charge de l’Etat (art. 423 al. 1 CPP). Le recourant, qui a obtenu gain de cause, a droit, à la charge de l’Etat, à une pleine indemnité pour les dépenses obligatoires occasionnées par la procédure de recours (art. 433 al. 1 let. a CPP, applicable par renvoi de l’art. 436 al. 1 CPP). Il convient de retenir une activité raisonnable de 2h30 d’avocat au total. Le tarif horaire sera fixé à 300 fr. pour tenir compte du degré de complexité de la cause (art. 26a al. 4 TFIP). A ces honoraires doivent être ajoutés des débours forfaitaires à concurrence de 2 % (art. 19 al. 2 TDC [Tarif des dépens en matière civile du 23 novembre 2010; BLV 270.11.6], applicable par analogie par renvoi de l’art. 26a al. 6 TFIP) par 15 fr., plus un montant correspondant à la TVA par 58 fr. 90. L’indemnité s’élève ainsi à 824 fr. en chiffres arrondis.</w:t>
      </w:r>
    </w:p>
    <w:p>
      <w:r>
        <w:t>- 10 - Par ces motifs, la Chambre des recours pénale prononce : I. Le recours est admis. II. L’ordonnance du 26 avril 2021 est annulée en tant qu’elle concerne l’infraction de contrainte. L’ordonnance est confirmée pour le surplus. III. Le dossier de la cause est renvoyé au Ministère public de l’arrondissement de l’Est vaudois pour qu’il procède dans le sens des considérants. IV. Les frais d’arrêt, par 990 fr. (neuf cent nonante francs), sont laissés à la charge de l’Etat. V. Une indemnité de 824 fr. (huit cent vingt-quatre francs) est allouée à R.________ pour la procédure de recours, à la charge de l’Etat. VI. L’arrêt est exécutoire. Le président : La greffière : Du Le présent arrêt, dont la rédaction a été approuvée à huis clos, est notifié, par l'envoi d'une copie complète, à : - Me Anne-Rebecca Bula, avocate (pour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