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PE21.000858 vom 7. Mai 2021</w:t>
      </w:r>
    </w:p>
    <w:p>
      <w:r>
        <w:t>VD Tribunal cantonal, 2021-05-07, FR</w:t>
      </w:r>
    </w:p>
    <w:p>
      <w:r>
        <w:rPr>
          <w:b/>
        </w:rPr>
        <w:t xml:space="preserve">Quelle: </w:t>
      </w:r>
      <w:r>
        <w:t>https://mcp.opencaselaw.ch/entscheid/vd_gerichte_PE21.000858</w:t>
      </w:r>
    </w:p>
    <w:p>
      <w:r>
        <w:t>FR: VD_GERICHTE PE21.000858 du 7 mai 2021</w:t>
      </w:r>
    </w:p>
    <w:p>
      <w:r>
        <w:t>IT: VD_GERICHTE PE21.000858 del 7 maggio 2021</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qui a qualité pour recourir (art. 382 al. 1 CPP) et dans les formes prescrites (art. 385 al. 1 CPP), le recours de X.________ est recevable.</w:t>
      </w:r>
    </w:p>
    <w:p>
      <w:r>
        <w:rPr>
          <w:b/>
        </w:rPr>
        <w:t>E. 2</w:t>
      </w:r>
    </w:p>
    <w:p>
      <w:r>
        <w:t>- 4 -</w:t>
      </w:r>
    </w:p>
    <w:p>
      <w:r>
        <w:rPr>
          <w:b/>
        </w:rPr>
        <w:t>E. 2.1</w:t>
      </w:r>
    </w:p>
    <w:p>
      <w:r>
        <w:t>Le recourant dit ne pas comprendre les raisons pour lesquelles le Ministère public et le Tribunal de police n’ont pas accepté sa demande « d’une enquête de personnalité » et être surpris du fait que les plaignants n’ont pas été entendus par la Gendarmerie ; il prétend qu’un interrogatoire individuel permettrait peut-être de « faire sortir des contradictions » ; il se déclare également surpris que le Tribunal de police « accorde des délais de recours » sans tenir compte des féries de Pâques, et il affirme que s’il avait eu un avocat, le Vice-président du Tribunal n’aurait pas prolongé le délai pour déposer sa liste de témoins de quatre jours seulement, par un avis qui lui est parvenu après l’échéance de la prolongation.</w:t>
      </w:r>
    </w:p>
    <w:p>
      <w:r>
        <w:rPr>
          <w:b/>
        </w:rPr>
        <w:t>E. 2.2</w:t>
      </w:r>
    </w:p>
    <w:p>
      <w:r>
        <w:t>et l'arrêt cité).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1B_475/2020 du 19 novembre 2020 consid. 2.1).</w:t>
      </w:r>
    </w:p>
    <w:p>
      <w:r>
        <w:rPr>
          <w:b/>
        </w:rPr>
        <w:t>E. 2.3</w:t>
      </w:r>
    </w:p>
    <w:p>
      <w:r>
        <w:t>En l’espèce, le recourant ne fait pas expressément valoir qu’il n’est pas en mesure de se défendre seul. De toute manière, la peine pécuniaire de 10 jours-amende retenue dans l'ordonnance pénale – valant acte d'accusation en cas d'opposition (art. 356 al. 1 in fine CPP) – se trouve très en dessous du seuil de 120 jours-amende prévu à l'art. 132 al.</w:t>
      </w:r>
    </w:p>
    <w:p>
      <w:r>
        <w:rPr>
          <w:b/>
        </w:rPr>
        <w:t>E. 2.4</w:t>
      </w:r>
    </w:p>
    <w:p>
      <w:r>
        <w:t>Tout bien considéré, c’est donc à juste titre que le vice- président du Tribunal de police de l'arrondissement de la Broye et du Nord vaudois a refusé de mettre le prévenu au bénéfice d’une défense d’office, les conditions de l’art. 132 CPP n’étant pas réunies.</w:t>
      </w:r>
    </w:p>
    <w:p>
      <w:r>
        <w:rPr>
          <w:b/>
        </w:rPr>
        <w:t>E. 3</w:t>
      </w:r>
    </w:p>
    <w:p>
      <w:r>
        <w:t>Au vu de ce qui précède, le recours, manifestement mal fondé, doit être rejeté, sans échange d’écritures (art. 390 al. 2 CPP), et le prononcé contesté confirmé. Les frais de la procédure de recours, constitués en l'espèce du seul émolument d’arrêt, par 660 fr. (art. 20 al. 1 TFIP [tarif des frais de procédure et indemnités en matière pénale du 28 septembre 2010; BLV 312.03.1]), seront mis à la charge du recourant, qui succombe (art. 428 al. 1 CPP).</w:t>
      </w:r>
    </w:p>
    <w:p>
      <w:r>
        <w:t>- 7 - Par ces motifs, la Chambre des recours pénale prononce : I. Le recours est rejeté. II. Le prononcé du 23 avril 2021 est confirmé. III. Les frais d'arrêt,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 le vice-président du Tribunal de police de l'arrondissement de la Broye et du Nord vaudois, - Mme la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