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PE21.000845 vom 1. Dezember 2021</w:t>
      </w:r>
    </w:p>
    <w:p>
      <w:r>
        <w:t>VD Tribunal cantonal, 2021-12-01, FR</w:t>
      </w:r>
    </w:p>
    <w:p>
      <w:r>
        <w:rPr>
          <w:b/>
        </w:rPr>
        <w:t xml:space="preserve">Quelle: </w:t>
      </w:r>
      <w:r>
        <w:t>https://mcp.opencaselaw.ch/entscheid/vd_gerichte_PE21.000845</w:t>
      </w:r>
    </w:p>
    <w:p>
      <w:r>
        <w:t>FR: VD_GERICHTE PE21.000845 du 1 décembre 2021</w:t>
      </w:r>
    </w:p>
    <w:p>
      <w:r>
        <w:t>IT: VD_GERICHTE PE21.000845 del 1 dicembre 2021</w:t>
      </w:r>
    </w:p>
    <w:p>
      <w:pPr>
        <w:pStyle w:val="Heading2"/>
      </w:pPr>
      <w:r>
        <w:t>Erwägungen</w:t>
      </w:r>
    </w:p>
    <w:p>
      <w:r>
        <w:rPr>
          <w:b/>
        </w:rPr>
        <w:t>E. 4.1</w:t>
      </w:r>
    </w:p>
    <w:p>
      <w:r>
        <w:t>L’appelant conteste la quotité de la peine qui lui a été infligée. Il allègue en premier lieu que la quantité de drogue trafiquée qui devrait être retenue à son encontre pour le cas 3.1 ne serait que de 1,5 grammes. Il soutient ensuite qu’indépendamment de ce cas, la peine serait trop sévère. Il fait valoir que son trafic n’aurait pas été important, qu’il n'aurait duré qu'une année et quelques mois et qu’il lui aurait permis de financer sa propre consommation de drogue ainsi que ses médicaments. Enfin, l’appelant allègue que le concours d’infractions ne porterait en réalité que sur la consommation en plus de la vente de stupéfiants, qu’il aurait fait preuve de repentir et qu’il aurait admis dans une grande mesure les faits.</w:t>
      </w:r>
    </w:p>
    <w:p>
      <w:r>
        <w:rPr>
          <w:b/>
        </w:rPr>
        <w:t>E. 4.2.1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- 20 - de même que son comportement après l’acte et au cours de la procédure pénale (ATF 142 IV 137 consid. 9.1, JdT 2016 I 169 ; ATF 141 IV 61 consid. 6.1.1 et les références citées ; TF 6B_631/2021 du 7 février 2022 consid. 1.1).</w:t>
      </w:r>
    </w:p>
    <w:p>
      <w:r>
        <w:rPr>
          <w:b/>
        </w:rPr>
        <w:t>E. 4.2.2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w:t>
      </w:r>
    </w:p>
    <w:p>
      <w:r>
        <w:t>- 21 - 2021 consid. 3.2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4.3</w:t>
      </w:r>
    </w:p>
    <w:p>
      <w:r>
        <w:t>Comme on l’a vu, c’est en vain que l’appelant plaide que la quantité de drogue trafiquée serait moins importante que celle retenue par les premiers juges, de sorte que ce premier moyen doit être rejeté. Le Tribunal correctionnel a retenu que le prévenu avait mis sur le marché une quantité de 28,1 g de crystal méthamphétamine pure, sur la base d’un taux moyen de pureté de 73 % qui n’a pas été contesté en appel par le</w:t>
      </w:r>
    </w:p>
    <w:p>
      <w:r>
        <w:t>- 22 - prévenu. Celui-ci a ainsi vendu un peu plus du double de la quantité à partir de laquelle le cas doit être considéré comme grave au sens de l'art. 19 al. 2 let. a LStup. Cela étant, la peine infligée par le Tribunal correctionnel paraît excessivement sévère. Même en admettant que la culpabilité de N.________ soit importante et qu'il faille tenir compte de ses mauvais antécédents, les considérations du Tribunal correctionnel selon lesquelles il faudrait retenir à sa charge l'ampleur du trafic ainsi que sa durée, d’une part, et l’appât du gain, d’autre part, doivent être davantage relativisées, le prévenu, sans revenus et toxicomane, s’étant livré à un trafic durant une année et quelques mois afin de subvenir à ses besoins et à sa propre consommation. En outre, les premiers juges ont retenu le concours d’infractions sans procéder à l’examen requis par la jurisprudence. Une peine privative de liberté de 15 mois comme peine de base pour sanctionner l’infraction la plus grave, soit l’infraction grave à la LStup, paraît adéquate. Celle-ci doit être augmentée de 3 mois pour l'infraction simple à la LStup. Une peine privative de liberté totale de 18 mois paraît ainsi suffisante pour sanctionner le comportement du prévenu. L’appel de N.________ doit par conséquent être admis sur ce point. Quant à l’amende de 300 fr. prononcée pour sanctionner la contravention à la LStup, qui n’est au demeurant pas contestée, elle est adéquate compte tenu de la situation de l’appelant et de la faute commise, et doit être confirmée, tout comme la peine privative de liberté de substitution de trois jours à exécuter en cas de non-paiement fautif.</w:t>
      </w:r>
    </w:p>
    <w:p>
      <w:r>
        <w:rPr>
          <w:b/>
        </w:rPr>
        <w:t>E. 4.4</w:t>
      </w:r>
    </w:p>
    <w:p>
      <w:r>
        <w:t>Conformément à l’art. 51 CP, la détention subie depuis le jugement de première instance sera déduite de la peine privative de liberté prononcée. Pour garantir l’exécution de la peine et de l’expulsion, qui n’est pas non plus contestée en appel, et compte tenu du risque de fuite et de réitération présentés par l’intéressé, le maintien de celui-ci en exécution anticipée de peine doit être ordonné.</w:t>
      </w:r>
    </w:p>
    <w:p>
      <w:r>
        <w:t>- 23 - La déduction de la peine prononcée de 47 jours à titre de réparation du tort moral pour les jours passés dans des conditions illicites de détention, qui n’est au demeurant pas contestée, est adéquate et doit être confirmée. Le dispositif du jugement attaqué contient toutefois une erreur manifeste à son chiffre IV, dans la mesure où celui-ci indique que l’appelant a été incarcéré 47 jours dans des conditions de détention illicites, alors que le Tribunal correctionnel retient dans ses considérants qu’il s’agit de 180 jours (6 + 174 ; cf. jugement, pp. 17-18). En application de l’art. 83 al. 1 CPP, cette erreur, reproduite dans le dispositif communiqué aux parties à l’issue de l’audience d’appel, sera rectifiée d’office.</w:t>
      </w:r>
    </w:p>
    <w:p>
      <w:r>
        <w:rPr>
          <w:b/>
        </w:rPr>
        <w:t>E. 5.1</w:t>
      </w:r>
    </w:p>
    <w:p>
      <w:r>
        <w:t>L'appelant estime qu’il aurait dû bénéficier d’un sursis complet. Invoquant une motivation insuffisante du jugement sur cette question, il fait valoir qu'il n'a jamais été condamné par le passé pour trafic de stupéfiants, de sorte que le pronostic à poser ne pourrait pas être défavorable. Il conteste également ne pas avoir pris conscience de son comportement et allègue qu’il aurait admis les faits qui lui étaient reprochés – à l’exception des faits concernant Q.________ et F.________ –, qu’il aurait à plusieurs reprises présenté ses excuses et exprimé des regrets et qu’il se serait bien comporté en détention. Il ajoute que le risque qu’il récidive ne serait pas concret, puisqu’il serait désormais sevré de la drogue et qu’il serait en mesure de retrouver un emploi. Enfin et de toute manière, le risque de récidive en Suisse serait nul puisqu'il devrait être expulsé une fois qu’il aurait purgé sa peine.</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w:t>
      </w:r>
    </w:p>
    <w:p>
      <w:r>
        <w:t>- 24 - 180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w:t>
      </w:r>
    </w:p>
    <w:p>
      <w:r>
        <w:rPr>
          <w:b/>
        </w:rPr>
        <w:t>E. 5.3</w:t>
      </w:r>
    </w:p>
    <w:p>
      <w:r>
        <w:t>En l’occurrence, les premiers juges ont retenu qu'au vu de ses antécédents et de son absence de prise de conscience, la peine infligée au prévenu devait être ferme, seul un pronostic défavorable pouvant être formé. Le risque de récidive paraissait en effet bien réel dès lors que N.________ évoluait dans un milieu composé quasi exclusivement de toxicomanes, qu'il était sans véritable profession, qu'il n'avait pas de famille en Suisse, sous réserve d'un frère, et qu'il n'avait pas réussi à s'intégrer en Suisse, n'ayant lors de son arrestation ni logement, ni travail, ni revenus licites. Suffisante et convaincante, cette appréciation doit être confirmée. Il faut encore relever que l'appelant a déjà été condamné trois fois. Le fait que ses agissements délictueux soient d'une gravité croissante, puisqu'ils s'étendent désormais au trafic de stupéfiants, n'est pas une circonstance favorable, bien au contraire : non seulement trois condamnations ne l’ont pas détourné de la commission de nouvelles infractions, mais en outre, il en a commis de plus graves. Enfin, l'appelant n'a aucune perspective d’avenir. Le pronostic est par conséquent résolument sombre, de sorte qu’une peine ferme s'impose.</w:t>
      </w:r>
    </w:p>
    <w:p>
      <w:r>
        <w:t>- 25 - Mal fondé, le grief doit ainsi être rejeté.</w:t>
      </w:r>
    </w:p>
    <w:p>
      <w:r>
        <w:rPr>
          <w:b/>
        </w:rPr>
        <w:t>E. 6.1</w:t>
      </w:r>
    </w:p>
    <w:p>
      <w:r>
        <w:t>Finalement, l'appelant requiert que les téléphones portables qui ont été saisis en cours d’enquête lui soient restitués. Il fait valoir qu'il ne serait pas établi que ces appareils soient en relation avec le trafic qui lui est reproché et que le maintien de leur séquestre serait disproportionné dès lors que leur vente ne pourrait rien rapporter.</w:t>
      </w:r>
    </w:p>
    <w:p>
      <w:r>
        <w:rPr>
          <w:b/>
        </w:rPr>
        <w:t>E. 6.2</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du Code de procédure pénale, 2e éd., Bâle 2016, n. 13 ad art. 263 CPP). Dans un tel cas, le séquestre peut être ordonné sur tous les biens du prévenu, y compris sur ceux qui n'ont aucun rapport avec l'infraction (Lembo/Julen Berthod, in : CR CPP, n. 14 ad art. 263 CPP).</w:t>
      </w:r>
    </w:p>
    <w:p>
      <w:r>
        <w:rPr>
          <w:b/>
        </w:rPr>
        <w:t>E. 6.3</w:t>
      </w:r>
    </w:p>
    <w:p>
      <w:r>
        <w:t>Les premiers juges ont décidé de maintenir le séquestre portant sur les quatre téléphones portables saisis afin de garantir le paiement d'une partie des frais de justice. Comme indiqué ci-dessus, dans un tel cas de figure, il n’est pas nécessaire que les objets séquestrés soient en relation avec l'infraction, la mesure pouvant porter sur l'ensemble des biens du condamné. Le grief est donc vain. De plus, il est vraisemblable que la vente de ces téléphones permettra d'obtenir un gain qui, même minime, viendra réduire le montant des frais de justice à la</w:t>
      </w:r>
    </w:p>
    <w:p>
      <w:r>
        <w:t>- 26 - charge du condamné, dont on ne voit pas comment il s'en acquitterait autrement. La décision de séquestre doit donc être confirmée.</w:t>
      </w:r>
    </w:p>
    <w:p>
      <w:r>
        <w:rPr>
          <w:b/>
        </w:rPr>
        <w:t>E. 7</w:t>
      </w:r>
    </w:p>
    <w:p>
      <w:r>
        <w:t>En définitive, l’appel doit être partiellement admis et le jugement entrepris réformé dans le sens des considérants 4.3 et 4.4 qui précèdent. Il n’y a pas lieu de s’écarter de la liste des opérations produite par Me Séverine Berger, défenseur d’office de N.________. Une indemnité d'un montant de 1'708 fr. 55, correspondant à une activité de 7 h 20 au tarif horaire de 180 fr., par 1’320 fr., à des débours à hauteur de 26 fr. 40, à deux vacations (240 fr.) et à la TVA au taux de 7,7 %, par 122 fr. 15, lui sera allouée pour la procédure d’appel. Vu l'issue de la cause, les frais de la procédure d'appel, par 4'308 fr. 55, constitués de l'émolument du présent jugement, par 2’600 fr. (art. 21 al. 1 et 2 TFIP), ainsi que de l’indemnité allouée au défenseur d’office, par 1'708 fr. 55, seront mis par deux tiers à la charge de l’appelant, qui succombe (art. 428 al. 1 CPP), le solde étant laissé à la charge de l’Etat. N.________ sera tenu de rembourser à l’Etat les deux tiers du montant de l’indemnité en faveur de son défenseur d’office lorsque sa situation financière le permettra (art. 135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