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PE21.000668 vom 1. März 2021</w:t>
      </w:r>
    </w:p>
    <w:p>
      <w:r>
        <w:t>VD Tribunal cantonal, 2021-03-01, FR</w:t>
      </w:r>
    </w:p>
    <w:p>
      <w:r>
        <w:rPr>
          <w:b/>
        </w:rPr>
        <w:t xml:space="preserve">Quelle: </w:t>
      </w:r>
      <w:r>
        <w:t>https://mcp.opencaselaw.ch/entscheid/vd_gerichte_PE21.000668</w:t>
      </w:r>
    </w:p>
    <w:p>
      <w:r>
        <w:t>FR: VD_GERICHTE PE21.000668 du 1 mars 2021</w:t>
      </w:r>
    </w:p>
    <w:p>
      <w:r>
        <w:t>IT: VD_GERICHTE PE21.000668 del 1 marzo 2021</w:t>
      </w:r>
    </w:p>
    <w:p>
      <w:pPr>
        <w:pStyle w:val="Heading2"/>
      </w:pPr>
      <w:r>
        <w:t>Erwägungen</w:t>
      </w:r>
    </w:p>
    <w:p>
      <w:r>
        <w:rPr>
          <w:b/>
        </w:rPr>
        <w:t>E. 1.1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2e éd., Bâle 2016, n. 24 ad art. 263 CPP ; Lembo/Nerushay, in : Jeanneret/Kuhn/Perrier Depeursinge [éd.], Commentaire romand, Code de procédure pénale suisse, 2e éd., Bâle 2019 [ci-après : CR CPP], n. 4 ad art. 267 CPP ; CREP 1er septembre 2020/636 et réf. cit.).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rPr>
          <w:b/>
        </w:rPr>
        <w:t>E. 1.2</w:t>
      </w:r>
    </w:p>
    <w:p>
      <w:r>
        <w:t>En l’espèce, interjeté en temps utile (art. 396 al. 1 CPP) et dans les formes prescrites (art. 385 al. 1 CPP) par le prévenu qui se prétend propriétaire d'une partie des objets séquestrés et qui a donc un intérêt juridique à l’annulation ou à la modification de l’ordonnance entreprise (art. 382 al. 1 CPP), le recours de K.________ est recevable.</w:t>
      </w:r>
    </w:p>
    <w:p>
      <w:r>
        <w:t>- 4 -</w:t>
      </w:r>
    </w:p>
    <w:p>
      <w:r>
        <w:rPr>
          <w:b/>
        </w:rPr>
        <w:t>E. 2.1</w:t>
      </w:r>
    </w:p>
    <w:p>
      <w:r>
        <w:t>Le recourant conteste le séquestre du Vreneli de 20 fr. de 1912, de la montre [...] noire et de la montre [...] et requiert leur restitution. Il soutient que ces trois objets lui appartiendraient, qu’il aurait lui-même acheté la montre [...] et que les deux autres objets lui auraient été offerts.</w:t>
      </w:r>
    </w:p>
    <w:p>
      <w:r>
        <w:rPr>
          <w:b/>
        </w:rPr>
        <w:t>E. 2.2.1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in : CR CPP,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w:t>
      </w:r>
    </w:p>
    <w:p>
      <w:r>
        <w:t>- 5 - provisoire qui se rapporte à des prétentions encore incertaines. En outre, la mesure doit pouvoir être ordonnée rapidement, ce qui exclut la résolution de questions juridiques complexes (ATF 141 IV 360 consid. 3.2 ; voir les arrêts cités par Lembo/Julen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consid. 3.1 ; Lembo/Julen Berthod, op. cit., n. 26 ad art. 263 CPP et réf. cit.).</w:t>
      </w:r>
    </w:p>
    <w:p>
      <w:r>
        <w:rPr>
          <w:b/>
        </w:rPr>
        <w:t>E. 2.2.2</w:t>
      </w:r>
    </w:p>
    <w:p>
      <w:r>
        <w:t>Le séquestre en vue de restitution (art. 263 al. 1 let. c CPP) consiste à placer en mains de la justice des objets ou des valeurs patrimoniales dans le but de les rendre à leur possesseur antérieur lorsque ceux-ci ne sont ni confisqués ni utilisés pour couvrir des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(vol, escroquerie, gestion déloyale par exemple ; cf. Moreillon/Parein-Reymond, op. cit., n. 15 ad art. 263 CPP).</w:t>
      </w:r>
    </w:p>
    <w:p>
      <w:r>
        <w:rPr>
          <w:b/>
        </w:rPr>
        <w:t>E. 2.3</w:t>
      </w:r>
    </w:p>
    <w:p>
      <w:r>
        <w:t>En l’espèce, le recourant a été appréhendé par la police durant la nuit des faits à proximité de l’endroit où avaient eu lieu plusieurs vols par effraction, alors qu’il tentait de s’enfuir (P. 7) et qu’il était en possession de plusieurs objets de valeur – un Vreneli de 20 fr. de 1912, une montre [...] noire et une montre [...] –, d’une lampe torche et de plusieurs outils (P. 19). Le Ministère public a ouvert une enquête pour vol, dommages à la propriété et rupture de ban. Le recourant a admis une partie faits reprochés. Le recourant, qui revendique la propriété des trois objets de valeur séquestrés, ne convainc pas dans ses explications. Le dossier ne</w:t>
      </w:r>
    </w:p>
    <w:p>
      <w:r>
        <w:t>- 6 - contient aucun élément de preuve ni d’indices tendant à démontrer que K.________, sans profession, sans domicile connu et en attente d’être expulsé du territoire suisse, aurait acquis ces objets de valeur de manière licite. A ce stade de la procédure, il existe dès lors des soupçons suffisants laissant présumer la commission de cambriolages par le recourant justifiant que les objets de valeur retrouvés en sa possession, dont il soutient être propriétaire, soient séquestrés afin de garantir qu’ils puissent être restitués aux lésés si le prévenu devait être condamné (art. 263 al. 1 let. c CPP). Le séquestre de ces objets de valeur est pour le surplus proportionné, puisqu’il est apte à produire les résultats escomptés, ceux-ci ne pouvant pas être atteints par une mesure moins incisive. Au vu de ce qui précède, l’ordonnance de séquestre entreprise ne prête pas le flanc à la critique et doit être confirmée.</w:t>
      </w:r>
    </w:p>
    <w:p>
      <w:r>
        <w:rPr>
          <w:b/>
        </w:rPr>
        <w:t>E. 3</w:t>
      </w:r>
    </w:p>
    <w:p>
      <w:r>
        <w:t>En définitive, le recours interjeté par K.________ doit être rejeté et l’ordonnance attaquée confirmée. Les frais de la procédure de recours, constitués du seul émolument d’arrêt, par 660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4 février 2021 est confirmée. III. Les frais d’arrêt, par 660 fr. (six cent soixante francs), sont mis à la charge de K.________.</w:t>
      </w:r>
    </w:p>
    <w:p>
      <w:r>
        <w:t>- 7 - IV. L’arrêt est exécutoire. Le président : La greffière : Du Le présent arrêt, dont la rédaction a été approuvée à huis clos, est notifié, par l'envoi d'une copie complète, à : - M. K.________, - Ministère public central, et communiqué à : - M. le Procureur cantonal Strada, - Me Nicolas Mattenberger, avocat (pour 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