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PE21.000651 vom 23. April 2021</w:t>
      </w:r>
    </w:p>
    <w:p>
      <w:r>
        <w:t>VD Tribunal cantonal, 2021-04-23, FR</w:t>
      </w:r>
    </w:p>
    <w:p>
      <w:r>
        <w:rPr>
          <w:b/>
        </w:rPr>
        <w:t xml:space="preserve">Quelle: </w:t>
      </w:r>
      <w:r>
        <w:t>https://mcp.opencaselaw.ch/entscheid/vd_gerichte_PE21.000651</w:t>
      </w:r>
    </w:p>
    <w:p>
      <w:r>
        <w:t>FR: VD_GERICHTE PE21.000651 du 23 avril 2021</w:t>
      </w:r>
    </w:p>
    <w:p>
      <w:r>
        <w:t>IT: VD_GERICHTE PE21.000651 del 23 aprile 2021</w:t>
      </w:r>
    </w:p>
    <w:p>
      <w:pPr>
        <w:pStyle w:val="Heading2"/>
      </w:pPr>
      <w:r>
        <w:t>Erwägungen</w:t>
      </w:r>
    </w:p>
    <w:p>
      <w:r>
        <w:rPr>
          <w:b/>
        </w:rPr>
        <w:t>E. 2</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w:t>
      </w:r>
    </w:p>
    <w:p>
      <w:r>
        <w:t>- 6 -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3.1</w:t>
      </w:r>
    </w:p>
    <w:p>
      <w:r>
        <w:t>Les recourants soutiennent qu’U.________ devrait être reconnu coupable d’abus de pouvoir pour avoir « vidé » leur carte bancaire du montant de 1'430 fr. « par voie de piratage » au moment où ils étaient au bancomat de K.________, à [...], le 31 décembre 2020 aux alentours de 11h30. Ils lui reprochent de les avoir ainsi placés sans moyens de subsistance du 1er au 22 janvier 2021 et de n’avoir fait aucun effort pour que le montant dû leur parvienne rapidement alors qu’ils étaient sans ressources. Les recourants allèguent aussi que la société N.________SA devrait être reconnue coupable de « faux témoignage » pour avoir produit un faux relevé de compte, dans la mesure où celui-ci n’indique pas le débit de 1'430 fr. qui a été opéré le 31 décembre 2020. En outre, ils demandent à être exonérés des frais judiciaires pour la procédure de recours en raison de leur situation financière précaire.</w:t>
      </w:r>
    </w:p>
    <w:p>
      <w:r>
        <w:rPr>
          <w:b/>
        </w:rPr>
        <w:t>E. 3.2</w:t>
      </w:r>
    </w:p>
    <w:p>
      <w:r>
        <w:t>Il est vrai que l’extrait de compte du 22 février 2021 produit par N.________SA n’indique aucun débit de 1'430 fr. en date du 31 décembre 2020. Toutefois, comme expliqué par le service clients de l’établissement bancaire dans son courriel du 18 janvier 2021, des transactions ont bel et bien été enregistrées en date du 31 décembre 2020, mais celles-ci se sont inscrites en tant que « réservations » et non en tant que « retraits », ce qui signifie soit qu’il y a eu un problème technique, soit qu’il manquait de l’argent dans le bancomat. L’inscription d’une « réservation » et non d’un « retrait » était d’ailleurs également</w:t>
      </w:r>
    </w:p>
    <w:p>
      <w:r>
        <w:t>- 7 - l’hypothèse que l’employée de K.________ avait avancée le 31 décembre 2020 lorsqu’elle est venue en aide aux recourants. Le service clients de N.________SA a ensuite précisé que les « réservations » se libéraient automatiquement le huitième jour après leur inscription sur la carte, que la « réservation » des recourants du 31 décembre 2020 avait été supprimée et que le solde de la carte affichait à nouveau 1'430 fr. 20. Cela explique pourquoi le relevé de compte de N.________SA du 22 février 2021 n’indique aucune opération effectuée le 31 décembre 2020. Ces explications ne souffrant aucune ambiguïté, force est de constater que les collaborateurs de N.________SA n’ont pas adopté de comportement pénalement répréhensible. Il est vrai également que le relevé de compte au 31 décembre 2020 produit par les recourants affiche un « retrait » de 1'430 fr. et un solde de 20 centimes, ce qui est propre à les induire en erreur (P. 4/1). En effet, outre les éclaircissements qui viennent d’être exposés ci-dessus en ce sens qu’il ne s’agit en réalité pas d’un « retrait » mais d’une « réservation », on observe que cette mention n’est pas identique à celles des retraits que les recourants ont effectués à des dates antérieures, à savoir que le montant de 1'430 fr. est affiché deux fois en négatif (« -1'430.00 CHF ») dans les colonnes « Montant en devise locale » et « Montant en CHF (frais compris) », tandis que les retraits conformes sont affichés une fois en positif et une fois en négatif (par exemple, pour le retrait du 16 décembre 2020, « 1'200.00 CHF » dans la colonne « Montant en devise locale » et « -1'200.00 CHF » dans la colonne « Montant en CHF [frais compris] »). En conclusion, le montant de 1'430 fr. n’a pas été débité et l’EVAM n’a jamais disposé de cette somme en retour, contrairement à ce que les recourants pensent. Comme retenu par le procureur, les intéressés ont de toute évidence dû faire face à un dysfonctionnement et on ne sait pas si cela est dû au bancomat, à la carte bancaire ou à N.________SA. Toute intervention du directeur de l’EVAM ou d’un tiers qui aurait tenté de « pirater » le système informatique afin de s’emparer du montant ou d’en priver temporairement les recourants et leurs enfants peut par conséquent être exclue. En d’autres termes, aucune infraction pénale ne saurait être imputée à aucun des collaborateurs de l’EVAM.</w:t>
      </w:r>
    </w:p>
    <w:p>
      <w:r>
        <w:t>- 8 - Quant aux difficultés rencontrées par les recourants qui n’ont ainsi pas pu disposer de l’argent nécessaire à leur entretien, la police indique, dans son rapport du 19 janvier 2021, que Mme B.________, administratrice de l’EVAM, lui a confirmé par téléphone le 31 décembre 2020 qu’elle avait pris contact avec le personnel de l’EVAM, à [...], afin que la famille soit prise en charge à tout le moins sur le plan alimentaire pendant le week-end du Nouvel-An. Dans ses déterminations du 1er février 2021, le directeur de l’EVAM a confirmé que Mme B.________ avait téléphoné à l’EVAM et que le surveillant du foyer lui avait répondu que la famille pourrait bénéficier de barquettes alimentaires à réchauffer, prélevées sur le stock de réserve. Ensuite, après avoir eu connaissance du dépôt de la plainte pénale, l’EVAM a immédiatement réagi, puisque F.________ a écrit le 6 janvier 2021 à N.________SA afin d’obtenir de plus amples explications. Comme l’indique U.________ à juste titre, il fallait attendre la réponse de l’établissement bancaire, lequel a répondu seulement le 18 janvier 2021. Si la famille a effectivement été mise dans une situation difficile, qui plus est pendant des jours fériés, rien ne permet de dire que le personnel de l’EVAM a cherché à lui nuire et qu’une infraction pénale est réalisée.</w:t>
      </w:r>
    </w:p>
    <w:p>
      <w:r>
        <w:rPr>
          <w:b/>
        </w:rPr>
        <w:t>E. 4</w:t>
      </w:r>
    </w:p>
    <w:p>
      <w:r>
        <w:t>Il résulte de ce qui précède que le recours doit être rejeté et l’ordonnance entreprise confirmée. Les frais de la procédure de recours, par 770 fr. (art. 20 al. 1 TFIP [Tarif des frais de procédure et indemnités en matière pénale du 28 septembre 2010 ; BLV 312.03.1]), seront exceptionnellement laissés à la charge de l’Etat (art. 423 CPP). Par ces motifs, la Chambre des recours pénale prononce : I. Le recours est rejeté. II. L’ordonnance du 2 mars 2021 est confirmée.</w:t>
      </w:r>
    </w:p>
    <w:p>
      <w:r>
        <w:t>- 9 - III. Les frais d’arrêt, par 770 fr. (sept cent septante francs), sont laissés à la charge de l’Etat. IV. L’arrêt est exécutoire. Le président : La greffière : Du Le présent arrêt, dont la rédaction a été approuvée à huis clos, est notifié, par l'envoi d'une copie complète, à : - M. E.________, - Mme I.________, - M. U.________, - Ministère public central, et communiqué à : - M. le Procureur du Ministère public de l’arrondissement de l’Est vaudois, - M. le Conseiller d’Etat [...] (réf. 21_COU_1929),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