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PE21.000493 vom 2. Mai 2023</w:t>
      </w:r>
    </w:p>
    <w:p>
      <w:r>
        <w:t>VD Tribunal cantonal, 2023-05-02, FR</w:t>
      </w:r>
    </w:p>
    <w:p>
      <w:r>
        <w:rPr>
          <w:b/>
        </w:rPr>
        <w:t xml:space="preserve">Quelle: </w:t>
      </w:r>
      <w:r>
        <w:t>https://mcp.opencaselaw.ch/entscheid/vd_gerichte_PE21.000493</w:t>
      </w:r>
    </w:p>
    <w:p>
      <w:r>
        <w:t>FR: VD_GERICHTE PE21.000493 du 2 mai 2023</w:t>
      </w:r>
    </w:p>
    <w:p>
      <w:r>
        <w:t>IT: VD_GERICHTE PE21.000493 del 2 maggio 2023</w:t>
      </w:r>
    </w:p>
    <w:p>
      <w:pPr>
        <w:pStyle w:val="Heading2"/>
      </w:pPr>
      <w:r>
        <w:t>Volltext</w:t>
      </w:r>
    </w:p>
    <w:p>
      <w:r>
        <w:t>TRIBUNAL CANTONAL 343 PE21.000493-VWL CHAMBRE DE S RECO URS PEN ALE __________________________________________ Arrêt du 2 mai 2023 __________________ Composition : Mme , présidente M. et Mme Courbat, juges Greffier : M. Ritter ***** Art. 83 al. 1 CPP Statuant ensuite de la décision rendue par la Cour de céans le 24 avril 2023 sur la demande de récusation déposée le 29 mars 2023 par M.________ à l’encontre de [...], Procureure du Ministère public central, division criminalité économique dans la cause n° PE21.000493-VWL, la Chambre des recours pénale considère : En fait et en droit : 1. Par acte daté du 29 mars 2023, le prévenu M.________, agissant par son défenseur, Me Alban Matthey, a requis la récusation de la Procureure [...]. 351</w:t>
      </w:r>
    </w:p>
    <w:p>
      <w:r>
        <w:t>- 2 - 2. Par décision du 24 avril 2023 (n° 300), la Chambre des recours pénale a rejeté la demande de récusation déposée le 29 mars 2023 par M.________ à l’encontre de la Procureure [...] (I), dit que l’indemnité allouée au défenseur d’office de M.________ était fixée à 495 fr. (II), a dit que les frais de décision, par 770 fr., ainsi que l’indemnité due au défenseur d’office de M.________, par 495 fr., étaient mis à la charge de ce dernier (III), a dit que le remboursement à l’Etat de l’indemnité allouée au chiffre II ci-dessus ne serait exigible que pour autant que la situation financière de M.________ le permette (IV) et a dit que la décision était exécutoire (V). 3. Par appel téléphonique du 27 avril 2023, la Procureure a indiqué au greffe de la Chambre des recours pénale que le mandataire du requérant était défenseur de choix, et non d’office. Interpellé sur ce point par téléphone le 1er mai 2023, Me Alban Matthey a consenti à la rectification d’office du dispositif. 4. A teneur de l’art. 83 CPP, l'autorité pénale qui a rendu un prononcé dont le dispositif est peu clair, contradictoire ou incomplet ou qui est en contradiction avec l'exposé des motifs, l'explique ou le rectifie à la demande d'une partie ou d'office (al. 1). 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 6B_727/2012 du 11 mars 2012 consid. 4.2.1).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consid. 1.3, JdT 2017 IV 116 et les références citées).</w:t>
      </w:r>
    </w:p>
    <w:p>
      <w:r>
        <w:t>- 3 - 5. En l’espèce, le dossier comporte une mention selon laquelle Me Alban Matthey serait défenseur d’office (PV aud. du 7 avril 2021, R. 4bis). Cependant, dès lors que le mandataire a, le 1er mai 2023, confirmé qu’il ne revêtait pas cette qualité, il convient de rectifier d’office cette erreur, dès lors qu’elle a eu pour conséquence l’allocation d’une indemnité d’office. Cette indemnité ne saurait donc être intégrée dans les frais de procédure, ceux-ci étant limités à l’émolument. De même, la clause de remboursement selon l’art. 135 al. 4 let. a CPP est dépourvue d’objet. 6. En définitive, la requête de rectification doit être admise. Les chiffres II et IV du dispositif de la décision du 24 avril 2023 sont supprimés et son chiffre III est modifié en ce sens que les frais de décision, par 770 fr., sont mis à la charge de M.________. Les frais du présent arrêt, par 330 fr. (art. 20 al. 1 TFIP [Tarif des frais de procédure et indemnités en matière pénale du 28 septembre 2010 ; BLV 312.03.1]), seront laissés à la charge de l’Etat (art. 423 al. 1 CPP). Par ces motifs, la Chambre des recours pénale prononce : I. La décision rendue le 24 avril 2023 par la Chambre des recours pénale du Tribunal cantonal est rectifiée aux chiffres II à IV de son dispositif, celui-ci étant désormais le suivant : « I. La demande de récusation déposée le 29 mars 2023 par M.________ à l’encontre de la Procureure [...] est rejetée. II. (supprimé). III. Les frais de décision, par 770 fr. (sept cent septante francs), sont mis à la charge de M.________. IV. (supprimé). V. La décision est exécutoire. »</w:t>
      </w:r>
    </w:p>
    <w:p>
      <w:r>
        <w:t>- 4 - II. Les frais d’arrêt, par 330 fr. (trois cent trente francs), sont laissés à la charge de l’Etat. III. L’arrêt rectificatif est exécutoire. La présidente : Le greffier : Du Le présent arrêt, dont la rédaction a été approuvée à huis clos, est notifié, par l'envoi d'une copie complète, à : - Me Alban Matthey, avocat (pour M.________),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